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62C8" w14:textId="288012C5" w:rsidR="006E5C08" w:rsidRPr="00526CD7" w:rsidRDefault="00C00BFE" w:rsidP="006E5C08">
      <w:pPr>
        <w:spacing w:after="0" w:line="240" w:lineRule="auto"/>
        <w:jc w:val="center"/>
        <w:rPr>
          <w:rFonts w:ascii="Cambria" w:eastAsia="Times New Roman" w:hAnsi="Cambria" w:cs="Times New Roman"/>
          <w:b/>
          <w:color w:val="000000"/>
          <w:sz w:val="28"/>
          <w:szCs w:val="24"/>
          <w:lang w:val="es-ES_tradnl"/>
        </w:rPr>
      </w:pPr>
      <w:r w:rsidRPr="00526CD7">
        <w:rPr>
          <w:rFonts w:ascii="Cambria" w:eastAsia="Times New Roman" w:hAnsi="Cambria" w:cs="Times New Roman"/>
          <w:b/>
          <w:color w:val="000000"/>
          <w:sz w:val="28"/>
          <w:szCs w:val="24"/>
          <w:lang w:val="es-ES_tradnl"/>
        </w:rPr>
        <w:t xml:space="preserve">Departamento de Fundamentos </w:t>
      </w:r>
    </w:p>
    <w:p w14:paraId="6974FC62" w14:textId="46DB3BB6" w:rsidR="00106234" w:rsidRPr="00526CD7" w:rsidRDefault="00C20D33" w:rsidP="00C00BFE">
      <w:pPr>
        <w:spacing w:after="200" w:line="240" w:lineRule="auto"/>
        <w:jc w:val="center"/>
        <w:rPr>
          <w:rFonts w:ascii="Cambria" w:eastAsia="Times New Roman" w:hAnsi="Cambria" w:cs="Times New Roman"/>
          <w:b/>
          <w:bCs/>
          <w:color w:val="000000"/>
          <w:sz w:val="24"/>
          <w:szCs w:val="24"/>
          <w:lang w:val="es-ES_tradnl"/>
        </w:rPr>
      </w:pPr>
      <w:r>
        <w:rPr>
          <w:rFonts w:ascii="Cambria" w:eastAsia="Times New Roman" w:hAnsi="Cambria" w:cs="Times New Roman"/>
          <w:b/>
          <w:bCs/>
          <w:color w:val="000000"/>
          <w:sz w:val="24"/>
          <w:szCs w:val="24"/>
          <w:lang w:val="es-ES_tradnl"/>
        </w:rPr>
        <w:t>Cursos más comunes y breve</w:t>
      </w:r>
      <w:r w:rsidR="003A68E1">
        <w:rPr>
          <w:rFonts w:ascii="Cambria" w:eastAsia="Times New Roman" w:hAnsi="Cambria" w:cs="Times New Roman"/>
          <w:b/>
          <w:bCs/>
          <w:color w:val="000000"/>
          <w:sz w:val="24"/>
          <w:szCs w:val="24"/>
          <w:lang w:val="es-ES_tradnl"/>
        </w:rPr>
        <w:t>s</w:t>
      </w:r>
      <w:r>
        <w:rPr>
          <w:rFonts w:ascii="Cambria" w:eastAsia="Times New Roman" w:hAnsi="Cambria" w:cs="Times New Roman"/>
          <w:b/>
          <w:bCs/>
          <w:color w:val="000000"/>
          <w:sz w:val="24"/>
          <w:szCs w:val="24"/>
          <w:lang w:val="es-ES_tradnl"/>
        </w:rPr>
        <w:t xml:space="preserve"> d</w:t>
      </w:r>
      <w:r w:rsidR="00A92E27" w:rsidRPr="00526CD7">
        <w:rPr>
          <w:rFonts w:ascii="Cambria" w:eastAsia="Times New Roman" w:hAnsi="Cambria" w:cs="Times New Roman"/>
          <w:b/>
          <w:bCs/>
          <w:color w:val="000000"/>
          <w:sz w:val="24"/>
          <w:szCs w:val="24"/>
          <w:lang w:val="es-ES_tradnl"/>
        </w:rPr>
        <w:t>escripci</w:t>
      </w:r>
      <w:r w:rsidR="003A68E1">
        <w:rPr>
          <w:rFonts w:ascii="Cambria" w:eastAsia="Times New Roman" w:hAnsi="Cambria" w:cs="Times New Roman"/>
          <w:b/>
          <w:bCs/>
          <w:color w:val="000000"/>
          <w:sz w:val="24"/>
          <w:szCs w:val="24"/>
          <w:lang w:val="es-ES_tradnl"/>
        </w:rPr>
        <w:t>ones</w:t>
      </w:r>
      <w:bookmarkStart w:id="0" w:name="_GoBack"/>
      <w:bookmarkEnd w:id="0"/>
      <w:r w:rsidR="00A92E27" w:rsidRPr="00526CD7">
        <w:rPr>
          <w:rFonts w:ascii="Cambria" w:eastAsia="Times New Roman" w:hAnsi="Cambria" w:cs="Times New Roman"/>
          <w:b/>
          <w:bCs/>
          <w:color w:val="000000"/>
          <w:sz w:val="24"/>
          <w:szCs w:val="24"/>
          <w:lang w:val="es-ES_tradnl"/>
        </w:rPr>
        <w:t xml:space="preserve"> </w:t>
      </w:r>
    </w:p>
    <w:tbl>
      <w:tblPr>
        <w:tblW w:w="12415" w:type="dxa"/>
        <w:jc w:val="center"/>
        <w:tblLayout w:type="fixed"/>
        <w:tblCellMar>
          <w:top w:w="15" w:type="dxa"/>
          <w:left w:w="15" w:type="dxa"/>
          <w:bottom w:w="15" w:type="dxa"/>
          <w:right w:w="15" w:type="dxa"/>
        </w:tblCellMar>
        <w:tblLook w:val="04A0" w:firstRow="1" w:lastRow="0" w:firstColumn="1" w:lastColumn="0" w:noHBand="0" w:noVBand="1"/>
      </w:tblPr>
      <w:tblGrid>
        <w:gridCol w:w="4675"/>
        <w:gridCol w:w="7740"/>
      </w:tblGrid>
      <w:tr w:rsidR="00A92E27" w:rsidRPr="00C20D33" w14:paraId="631378D5" w14:textId="5EC85890" w:rsidTr="00C20D33">
        <w:trPr>
          <w:trHeight w:val="200"/>
          <w:jc w:val="center"/>
        </w:trPr>
        <w:tc>
          <w:tcPr>
            <w:tcW w:w="4675" w:type="dxa"/>
            <w:tcBorders>
              <w:top w:val="single" w:sz="4" w:space="0" w:color="000000"/>
              <w:left w:val="single" w:sz="4" w:space="0" w:color="000000"/>
              <w:bottom w:val="single" w:sz="4" w:space="0" w:color="auto"/>
              <w:right w:val="single" w:sz="4" w:space="0" w:color="000000"/>
            </w:tcBorders>
            <w:shd w:val="clear" w:color="auto" w:fill="A8D08D" w:themeFill="accent6" w:themeFillTint="99"/>
          </w:tcPr>
          <w:p w14:paraId="227504EF" w14:textId="5D3796B8" w:rsidR="00A92E27" w:rsidRPr="00C20D33" w:rsidRDefault="00A92E27" w:rsidP="00D16B5D">
            <w:pPr>
              <w:spacing w:after="0" w:line="276" w:lineRule="auto"/>
              <w:ind w:left="-15"/>
              <w:jc w:val="center"/>
              <w:rPr>
                <w:rFonts w:eastAsia="Times New Roman" w:cstheme="minorHAnsi"/>
                <w:b/>
                <w:bCs/>
                <w:sz w:val="28"/>
                <w:szCs w:val="24"/>
                <w:lang w:val="es-ES_tradnl"/>
              </w:rPr>
            </w:pPr>
            <w:r w:rsidRPr="00C20D33">
              <w:rPr>
                <w:rFonts w:eastAsia="Times New Roman" w:cstheme="minorHAnsi"/>
                <w:b/>
                <w:bCs/>
                <w:sz w:val="28"/>
                <w:szCs w:val="24"/>
                <w:lang w:val="es-ES_tradnl"/>
              </w:rPr>
              <w:t>Curso</w:t>
            </w:r>
            <w:r w:rsidR="006C321E" w:rsidRPr="00C20D33">
              <w:rPr>
                <w:rFonts w:eastAsia="Times New Roman" w:cstheme="minorHAnsi"/>
                <w:b/>
                <w:bCs/>
                <w:sz w:val="28"/>
                <w:szCs w:val="24"/>
                <w:lang w:val="es-ES_tradnl"/>
              </w:rPr>
              <w:t>s</w:t>
            </w:r>
          </w:p>
        </w:tc>
        <w:tc>
          <w:tcPr>
            <w:tcW w:w="774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15" w:type="dxa"/>
              <w:bottom w:w="0" w:type="dxa"/>
              <w:right w:w="115" w:type="dxa"/>
            </w:tcMar>
            <w:vAlign w:val="center"/>
          </w:tcPr>
          <w:p w14:paraId="10C4B6E4" w14:textId="065A0A6B" w:rsidR="00A92E27" w:rsidRPr="00C20D33" w:rsidRDefault="006C321E" w:rsidP="007A0ADD">
            <w:pPr>
              <w:spacing w:after="0" w:line="240" w:lineRule="auto"/>
              <w:jc w:val="center"/>
              <w:rPr>
                <w:rFonts w:eastAsia="Times New Roman" w:cstheme="minorHAnsi"/>
                <w:b/>
                <w:bCs/>
                <w:sz w:val="28"/>
                <w:szCs w:val="24"/>
                <w:lang w:val="es-ES_tradnl"/>
              </w:rPr>
            </w:pPr>
            <w:r w:rsidRPr="00C20D33">
              <w:rPr>
                <w:rFonts w:eastAsia="Times New Roman" w:cstheme="minorHAnsi"/>
                <w:b/>
                <w:bCs/>
                <w:sz w:val="28"/>
                <w:szCs w:val="24"/>
                <w:lang w:val="es-ES_tradnl"/>
              </w:rPr>
              <w:t>Descripciones</w:t>
            </w:r>
          </w:p>
        </w:tc>
      </w:tr>
      <w:tr w:rsidR="00A92E27" w:rsidRPr="003A68E1" w14:paraId="400214DA" w14:textId="0F9AF2EE" w:rsidTr="00C20D33">
        <w:trPr>
          <w:trHeight w:val="2222"/>
          <w:jc w:val="center"/>
        </w:trPr>
        <w:tc>
          <w:tcPr>
            <w:tcW w:w="4675" w:type="dxa"/>
            <w:tcBorders>
              <w:top w:val="single" w:sz="4" w:space="0" w:color="auto"/>
              <w:left w:val="single" w:sz="4" w:space="0" w:color="auto"/>
              <w:right w:val="single" w:sz="4" w:space="0" w:color="auto"/>
            </w:tcBorders>
            <w:vAlign w:val="center"/>
          </w:tcPr>
          <w:p w14:paraId="1F54FA6E" w14:textId="3F11F639" w:rsidR="00A92E27" w:rsidRPr="00C20D33" w:rsidRDefault="007A0ADD" w:rsidP="00411A19">
            <w:pPr>
              <w:spacing w:after="0" w:line="276" w:lineRule="auto"/>
              <w:ind w:left="75"/>
              <w:rPr>
                <w:rFonts w:eastAsia="Times New Roman" w:cstheme="minorHAnsi"/>
                <w:sz w:val="24"/>
                <w:szCs w:val="24"/>
                <w:lang w:val="es-ES_tradnl"/>
              </w:rPr>
            </w:pPr>
            <w:r w:rsidRPr="00C20D33">
              <w:rPr>
                <w:rFonts w:eastAsia="Times New Roman" w:cstheme="minorHAnsi"/>
                <w:b/>
                <w:sz w:val="24"/>
                <w:szCs w:val="24"/>
                <w:lang w:val="es-ES_tradnl"/>
              </w:rPr>
              <w:t>EDFU 3007</w:t>
            </w:r>
            <w:r w:rsidRPr="00C20D33">
              <w:rPr>
                <w:rFonts w:eastAsia="Times New Roman" w:cstheme="minorHAnsi"/>
                <w:sz w:val="24"/>
                <w:szCs w:val="24"/>
                <w:lang w:val="es-ES_tradnl"/>
              </w:rPr>
              <w:t xml:space="preserve"> Fundamentos </w:t>
            </w:r>
            <w:r w:rsidR="00C20D33" w:rsidRPr="00C20D33">
              <w:rPr>
                <w:rFonts w:eastAsia="Times New Roman" w:cstheme="minorHAnsi"/>
                <w:sz w:val="24"/>
                <w:szCs w:val="24"/>
                <w:lang w:val="es-ES_tradnl"/>
              </w:rPr>
              <w:t>s</w:t>
            </w:r>
            <w:r w:rsidRPr="00C20D33">
              <w:rPr>
                <w:rFonts w:eastAsia="Times New Roman" w:cstheme="minorHAnsi"/>
                <w:sz w:val="24"/>
                <w:szCs w:val="24"/>
                <w:lang w:val="es-ES_tradnl"/>
              </w:rPr>
              <w:t xml:space="preserve">ociales de la </w:t>
            </w:r>
            <w:r w:rsidR="00C20D33" w:rsidRPr="00C20D33">
              <w:rPr>
                <w:rFonts w:eastAsia="Times New Roman" w:cstheme="minorHAnsi"/>
                <w:sz w:val="24"/>
                <w:szCs w:val="24"/>
                <w:lang w:val="es-ES_tradnl"/>
              </w:rPr>
              <w:t>e</w:t>
            </w:r>
            <w:r w:rsidRPr="00C20D33">
              <w:rPr>
                <w:rFonts w:eastAsia="Times New Roman" w:cstheme="minorHAnsi"/>
                <w:sz w:val="24"/>
                <w:szCs w:val="24"/>
                <w:lang w:val="es-ES_tradnl"/>
              </w:rPr>
              <w:t>ducación</w:t>
            </w:r>
          </w:p>
        </w:tc>
        <w:tc>
          <w:tcPr>
            <w:tcW w:w="7740" w:type="dxa"/>
            <w:tcBorders>
              <w:top w:val="single" w:sz="4" w:space="0" w:color="000000"/>
              <w:left w:val="single" w:sz="4" w:space="0" w:color="auto"/>
              <w:right w:val="single" w:sz="4" w:space="0" w:color="000000"/>
            </w:tcBorders>
            <w:tcMar>
              <w:top w:w="0" w:type="dxa"/>
              <w:left w:w="115" w:type="dxa"/>
              <w:bottom w:w="0" w:type="dxa"/>
              <w:right w:w="115" w:type="dxa"/>
            </w:tcMar>
            <w:vAlign w:val="center"/>
          </w:tcPr>
          <w:p w14:paraId="215C718F" w14:textId="2119E1B8" w:rsidR="009A7C2A" w:rsidRPr="00C20D33" w:rsidRDefault="009A7C2A" w:rsidP="00536390">
            <w:pPr>
              <w:pStyle w:val="NoSpacing"/>
              <w:jc w:val="both"/>
              <w:rPr>
                <w:rFonts w:eastAsia="Times New Roman"/>
                <w:sz w:val="24"/>
                <w:szCs w:val="24"/>
                <w:lang w:val="es-ES_tradnl"/>
              </w:rPr>
            </w:pPr>
            <w:r w:rsidRPr="00C20D33">
              <w:rPr>
                <w:sz w:val="24"/>
                <w:szCs w:val="24"/>
                <w:lang w:val="es-ES_tradnl"/>
              </w:rPr>
              <w:t xml:space="preserve">Este curso introduce al estudiante al estudio y análisis del sistema educativo, partiendo de los conceptos que ofrecen la sociología, antropología, economía y ciencias políticas. Se estudia la escuela como institución social, sus relaciones con otras instituciones sociales y los procesos históricos, sociales, culturales, económicos, políticos y legales que condicionan su funcionamiento. Se examina la importancia y el efecto de estos factores sociales en los currículos y en las prácticas educativas, así como en el desempeño académico y social de los docentes y estudiantes. Además, se analiza la función socializadora de la escuela y su relación con los procesos de equidad social y educación. </w:t>
            </w:r>
          </w:p>
        </w:tc>
      </w:tr>
      <w:tr w:rsidR="00A92E27" w:rsidRPr="003A68E1" w14:paraId="4CE57F56" w14:textId="77777777" w:rsidTr="00C20D33">
        <w:trPr>
          <w:trHeight w:val="549"/>
          <w:jc w:val="center"/>
        </w:trPr>
        <w:tc>
          <w:tcPr>
            <w:tcW w:w="4675"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49C26D4A" w14:textId="77777777" w:rsidR="00C20D33" w:rsidRDefault="00C20D33" w:rsidP="00411A19">
            <w:pPr>
              <w:spacing w:after="0" w:line="276" w:lineRule="auto"/>
              <w:ind w:left="75"/>
              <w:rPr>
                <w:rFonts w:eastAsia="Times New Roman" w:cstheme="minorHAnsi"/>
                <w:b/>
                <w:bCs/>
                <w:sz w:val="24"/>
                <w:szCs w:val="24"/>
                <w:lang w:val="es-ES_tradnl"/>
              </w:rPr>
            </w:pPr>
          </w:p>
          <w:p w14:paraId="48D1C1E9" w14:textId="77777777" w:rsidR="00C20D33" w:rsidRDefault="00C20D33" w:rsidP="00411A19">
            <w:pPr>
              <w:spacing w:after="0" w:line="276" w:lineRule="auto"/>
              <w:ind w:left="75"/>
              <w:rPr>
                <w:rFonts w:eastAsia="Times New Roman" w:cstheme="minorHAnsi"/>
                <w:b/>
                <w:bCs/>
                <w:sz w:val="24"/>
                <w:szCs w:val="24"/>
                <w:lang w:val="es-ES_tradnl"/>
              </w:rPr>
            </w:pPr>
          </w:p>
          <w:p w14:paraId="74067FB6" w14:textId="42E791D0" w:rsidR="00A92E27" w:rsidRPr="00C20D33" w:rsidRDefault="00A92E27" w:rsidP="00411A19">
            <w:pPr>
              <w:spacing w:after="0" w:line="276" w:lineRule="auto"/>
              <w:ind w:left="75"/>
              <w:rPr>
                <w:rFonts w:eastAsia="Times New Roman" w:cstheme="minorHAnsi"/>
                <w:b/>
                <w:bCs/>
                <w:sz w:val="24"/>
                <w:szCs w:val="24"/>
                <w:lang w:val="es-ES_tradnl"/>
              </w:rPr>
            </w:pPr>
            <w:r w:rsidRPr="00C20D33">
              <w:rPr>
                <w:rFonts w:eastAsia="Times New Roman" w:cstheme="minorHAnsi"/>
                <w:b/>
                <w:bCs/>
                <w:sz w:val="24"/>
                <w:szCs w:val="24"/>
                <w:lang w:val="es-ES_tradnl"/>
              </w:rPr>
              <w:t xml:space="preserve">EDFU 3011 </w:t>
            </w:r>
            <w:r w:rsidRPr="00C20D33">
              <w:rPr>
                <w:rFonts w:eastAsia="Times New Roman" w:cstheme="minorHAnsi"/>
                <w:sz w:val="24"/>
                <w:szCs w:val="24"/>
                <w:lang w:val="es-ES_tradnl"/>
              </w:rPr>
              <w:t xml:space="preserve">Fundamentos del </w:t>
            </w:r>
            <w:r w:rsidR="00C20D33" w:rsidRPr="00C20D33">
              <w:rPr>
                <w:rFonts w:eastAsia="Times New Roman" w:cstheme="minorHAnsi"/>
                <w:sz w:val="24"/>
                <w:szCs w:val="24"/>
                <w:lang w:val="es-ES_tradnl"/>
              </w:rPr>
              <w:t>d</w:t>
            </w:r>
            <w:r w:rsidRPr="00C20D33">
              <w:rPr>
                <w:rFonts w:eastAsia="Times New Roman" w:cstheme="minorHAnsi"/>
                <w:sz w:val="24"/>
                <w:szCs w:val="24"/>
                <w:lang w:val="es-ES_tradnl"/>
              </w:rPr>
              <w:t xml:space="preserve">esarrollo </w:t>
            </w:r>
            <w:r w:rsidR="00C20D33" w:rsidRPr="00C20D33">
              <w:rPr>
                <w:rFonts w:eastAsia="Times New Roman" w:cstheme="minorHAnsi"/>
                <w:sz w:val="24"/>
                <w:szCs w:val="24"/>
                <w:lang w:val="es-ES_tradnl"/>
              </w:rPr>
              <w:t>h</w:t>
            </w:r>
            <w:r w:rsidRPr="00C20D33">
              <w:rPr>
                <w:rFonts w:eastAsia="Times New Roman" w:cstheme="minorHAnsi"/>
                <w:sz w:val="24"/>
                <w:szCs w:val="24"/>
                <w:lang w:val="es-ES_tradnl"/>
              </w:rPr>
              <w:t>umano</w:t>
            </w:r>
          </w:p>
        </w:tc>
        <w:tc>
          <w:tcPr>
            <w:tcW w:w="7740" w:type="dxa"/>
            <w:vMerge w:val="restart"/>
            <w:tcBorders>
              <w:top w:val="single" w:sz="4" w:space="0" w:color="000000"/>
              <w:left w:val="single" w:sz="4" w:space="0" w:color="auto"/>
              <w:bottom w:val="nil"/>
              <w:right w:val="single" w:sz="4" w:space="0" w:color="000000"/>
            </w:tcBorders>
            <w:shd w:val="clear" w:color="auto" w:fill="E2EFD9" w:themeFill="accent6" w:themeFillTint="33"/>
            <w:tcMar>
              <w:top w:w="0" w:type="dxa"/>
              <w:left w:w="115" w:type="dxa"/>
              <w:bottom w:w="0" w:type="dxa"/>
              <w:right w:w="115" w:type="dxa"/>
            </w:tcMar>
            <w:vAlign w:val="center"/>
          </w:tcPr>
          <w:p w14:paraId="4D74E0A6" w14:textId="7159E7AE" w:rsidR="00A92E27" w:rsidRPr="00C20D33" w:rsidRDefault="009A7C2A" w:rsidP="00536390">
            <w:pPr>
              <w:pStyle w:val="NoSpacing"/>
              <w:jc w:val="both"/>
              <w:rPr>
                <w:rFonts w:eastAsia="Times New Roman"/>
                <w:b/>
                <w:bCs/>
                <w:sz w:val="24"/>
                <w:szCs w:val="24"/>
                <w:lang w:val="es-ES_tradnl"/>
              </w:rPr>
            </w:pPr>
            <w:r w:rsidRPr="00C20D33">
              <w:rPr>
                <w:sz w:val="24"/>
                <w:szCs w:val="24"/>
                <w:lang w:val="es-ES_tradnl"/>
              </w:rPr>
              <w:t>Introducción al estudio de los fundamentos del desarrollo cognoscitivo, social, emocional y físico en el ciclo de vida humano. Se discuten y analizan los diversos paradigmas asociados a estas áreas de desarrollo desde una perspectiva integral y se examinan las implicaciones para la educación en Puerto Rico.</w:t>
            </w:r>
          </w:p>
        </w:tc>
      </w:tr>
      <w:tr w:rsidR="00A92E27" w:rsidRPr="003A68E1" w14:paraId="140E3C61" w14:textId="77777777" w:rsidTr="00C20D33">
        <w:trPr>
          <w:trHeight w:val="60"/>
          <w:jc w:val="center"/>
        </w:trPr>
        <w:tc>
          <w:tcPr>
            <w:tcW w:w="4675" w:type="dxa"/>
            <w:tcBorders>
              <w:left w:val="single" w:sz="4" w:space="0" w:color="auto"/>
              <w:right w:val="single" w:sz="4" w:space="0" w:color="auto"/>
            </w:tcBorders>
            <w:shd w:val="clear" w:color="auto" w:fill="E2EFD9" w:themeFill="accent6" w:themeFillTint="33"/>
            <w:vAlign w:val="center"/>
          </w:tcPr>
          <w:p w14:paraId="55E640AA" w14:textId="77777777" w:rsidR="00A92E27" w:rsidRPr="00C20D33" w:rsidRDefault="00A92E27" w:rsidP="00411A19">
            <w:pPr>
              <w:spacing w:after="0" w:line="276" w:lineRule="auto"/>
              <w:ind w:left="75"/>
              <w:jc w:val="center"/>
              <w:rPr>
                <w:rFonts w:eastAsia="Times New Roman" w:cstheme="minorHAnsi"/>
                <w:sz w:val="24"/>
                <w:szCs w:val="24"/>
                <w:lang w:val="es-ES_tradnl"/>
              </w:rPr>
            </w:pPr>
          </w:p>
        </w:tc>
        <w:tc>
          <w:tcPr>
            <w:tcW w:w="7740" w:type="dxa"/>
            <w:vMerge/>
            <w:tcBorders>
              <w:left w:val="single" w:sz="4" w:space="0" w:color="auto"/>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tcPr>
          <w:p w14:paraId="2D1EDCED" w14:textId="77777777" w:rsidR="00A92E27" w:rsidRPr="00C20D33" w:rsidRDefault="00A92E27" w:rsidP="00536390">
            <w:pPr>
              <w:pStyle w:val="NoSpacing"/>
              <w:jc w:val="both"/>
              <w:rPr>
                <w:rFonts w:eastAsia="Times New Roman"/>
                <w:sz w:val="24"/>
                <w:szCs w:val="24"/>
                <w:lang w:val="es-ES_tradnl"/>
              </w:rPr>
            </w:pPr>
          </w:p>
        </w:tc>
      </w:tr>
      <w:tr w:rsidR="00A92E27" w:rsidRPr="00C20D33" w14:paraId="2F25EA0E" w14:textId="3CB9FF1B" w:rsidTr="00C20D33">
        <w:trPr>
          <w:trHeight w:val="1055"/>
          <w:jc w:val="center"/>
        </w:trPr>
        <w:tc>
          <w:tcPr>
            <w:tcW w:w="4675" w:type="dxa"/>
            <w:tcBorders>
              <w:top w:val="single" w:sz="4" w:space="0" w:color="auto"/>
              <w:left w:val="single" w:sz="4" w:space="0" w:color="auto"/>
              <w:right w:val="single" w:sz="4" w:space="0" w:color="auto"/>
            </w:tcBorders>
            <w:vAlign w:val="center"/>
          </w:tcPr>
          <w:p w14:paraId="6ABC1881" w14:textId="29DBB591" w:rsidR="00A92E27" w:rsidRPr="00C20D33" w:rsidRDefault="00A92E27" w:rsidP="00411A19">
            <w:pPr>
              <w:spacing w:after="0" w:line="276" w:lineRule="auto"/>
              <w:ind w:left="75"/>
              <w:rPr>
                <w:rFonts w:eastAsia="Times New Roman" w:cstheme="minorHAnsi"/>
                <w:sz w:val="24"/>
                <w:szCs w:val="24"/>
                <w:lang w:val="es-ES_tradnl"/>
              </w:rPr>
            </w:pPr>
            <w:r w:rsidRPr="00C20D33">
              <w:rPr>
                <w:rFonts w:eastAsia="Times New Roman" w:cstheme="minorHAnsi"/>
                <w:b/>
                <w:bCs/>
                <w:sz w:val="24"/>
                <w:szCs w:val="24"/>
                <w:lang w:val="es-ES_tradnl"/>
              </w:rPr>
              <w:t xml:space="preserve">EDFU 3012 </w:t>
            </w:r>
            <w:r w:rsidRPr="00C20D33">
              <w:rPr>
                <w:rFonts w:eastAsia="Times New Roman" w:cstheme="minorHAnsi"/>
                <w:sz w:val="24"/>
                <w:szCs w:val="24"/>
                <w:lang w:val="es-ES_tradnl"/>
              </w:rPr>
              <w:t xml:space="preserve">Fundamentos </w:t>
            </w:r>
            <w:r w:rsidR="00C20D33" w:rsidRPr="00C20D33">
              <w:rPr>
                <w:rFonts w:eastAsia="Times New Roman" w:cstheme="minorHAnsi"/>
                <w:sz w:val="24"/>
                <w:szCs w:val="24"/>
                <w:lang w:val="es-ES_tradnl"/>
              </w:rPr>
              <w:t>p</w:t>
            </w:r>
            <w:r w:rsidRPr="00C20D33">
              <w:rPr>
                <w:rFonts w:eastAsia="Times New Roman" w:cstheme="minorHAnsi"/>
                <w:sz w:val="24"/>
                <w:szCs w:val="24"/>
                <w:lang w:val="es-ES_tradnl"/>
              </w:rPr>
              <w:t xml:space="preserve">sicología </w:t>
            </w:r>
            <w:r w:rsidR="00C20D33" w:rsidRPr="00C20D33">
              <w:rPr>
                <w:rFonts w:eastAsia="Times New Roman" w:cstheme="minorHAnsi"/>
                <w:sz w:val="24"/>
                <w:szCs w:val="24"/>
                <w:lang w:val="es-ES_tradnl"/>
              </w:rPr>
              <w:t>e</w:t>
            </w:r>
            <w:r w:rsidRPr="00C20D33">
              <w:rPr>
                <w:rFonts w:eastAsia="Times New Roman" w:cstheme="minorHAnsi"/>
                <w:sz w:val="24"/>
                <w:szCs w:val="24"/>
                <w:lang w:val="es-ES_tradnl"/>
              </w:rPr>
              <w:t>ducativa</w:t>
            </w:r>
          </w:p>
        </w:tc>
        <w:tc>
          <w:tcPr>
            <w:tcW w:w="7740" w:type="dxa"/>
            <w:tcBorders>
              <w:top w:val="single" w:sz="4" w:space="0" w:color="000000"/>
              <w:left w:val="single" w:sz="4" w:space="0" w:color="auto"/>
              <w:right w:val="single" w:sz="4" w:space="0" w:color="000000"/>
            </w:tcBorders>
            <w:tcMar>
              <w:top w:w="0" w:type="dxa"/>
              <w:left w:w="115" w:type="dxa"/>
              <w:bottom w:w="0" w:type="dxa"/>
              <w:right w:w="115" w:type="dxa"/>
            </w:tcMar>
          </w:tcPr>
          <w:p w14:paraId="517BCC85" w14:textId="6A8B60E5" w:rsidR="00C20D33" w:rsidRDefault="00E410AC" w:rsidP="00536390">
            <w:pPr>
              <w:pStyle w:val="NoSpacing"/>
              <w:jc w:val="both"/>
              <w:rPr>
                <w:sz w:val="24"/>
                <w:szCs w:val="24"/>
                <w:lang w:val="es-ES_tradnl"/>
              </w:rPr>
            </w:pPr>
            <w:r w:rsidRPr="00C20D33">
              <w:rPr>
                <w:sz w:val="24"/>
                <w:szCs w:val="24"/>
                <w:lang w:val="es-ES_tradnl"/>
              </w:rPr>
              <w:t xml:space="preserve">En este curso se estudian las principales teorías psicológicas, las investigaciones e innovaciones que explican y ayudan a entender los procesos de aprendizaje y pensamiento en el contexto escolar. Se examinan a fondo los conceptos básicos de las teorías conductistas, cognoscitivas, socioculturales y humanistas en su interrelación con la motivación, la diversidad, la convivencia escolar y la evaluación del aprendizaje. Se analiza su aplicación a la práctica educativa en la sociedad puertorriqueña actual. Se requiere experiencia de campo en escenarios educativos. </w:t>
            </w:r>
          </w:p>
          <w:p w14:paraId="0011246F" w14:textId="77777777" w:rsidR="00C20D33" w:rsidRDefault="00C20D33" w:rsidP="00536390">
            <w:pPr>
              <w:pStyle w:val="NoSpacing"/>
              <w:jc w:val="both"/>
              <w:rPr>
                <w:sz w:val="24"/>
                <w:szCs w:val="24"/>
                <w:lang w:val="es-ES_tradnl"/>
              </w:rPr>
            </w:pPr>
          </w:p>
          <w:p w14:paraId="3AD25F41" w14:textId="0D31FB21" w:rsidR="00C20D33" w:rsidRPr="00C20D33" w:rsidRDefault="00C20D33" w:rsidP="00536390">
            <w:pPr>
              <w:pStyle w:val="NoSpacing"/>
              <w:jc w:val="both"/>
              <w:rPr>
                <w:rFonts w:eastAsia="Times New Roman"/>
                <w:sz w:val="24"/>
                <w:szCs w:val="24"/>
                <w:lang w:val="es-ES_tradnl"/>
              </w:rPr>
            </w:pPr>
          </w:p>
        </w:tc>
      </w:tr>
      <w:tr w:rsidR="00A92E27" w:rsidRPr="003A68E1" w14:paraId="1A34BA8B" w14:textId="0D09F1B9" w:rsidTr="00C20D33">
        <w:trPr>
          <w:trHeight w:val="460"/>
          <w:jc w:val="center"/>
        </w:trPr>
        <w:tc>
          <w:tcPr>
            <w:tcW w:w="4675"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1BF84A1D" w14:textId="77777777" w:rsidR="00C20D33" w:rsidRDefault="00C20D33" w:rsidP="00411A19">
            <w:pPr>
              <w:spacing w:after="0" w:line="276" w:lineRule="auto"/>
              <w:ind w:left="75"/>
              <w:rPr>
                <w:rFonts w:eastAsia="Times New Roman" w:cstheme="minorHAnsi"/>
                <w:b/>
                <w:bCs/>
                <w:sz w:val="24"/>
                <w:szCs w:val="24"/>
                <w:lang w:val="es-ES_tradnl"/>
              </w:rPr>
            </w:pPr>
          </w:p>
          <w:p w14:paraId="76BC8B2B" w14:textId="77777777" w:rsidR="00C20D33" w:rsidRDefault="00C20D33" w:rsidP="00411A19">
            <w:pPr>
              <w:spacing w:after="0" w:line="276" w:lineRule="auto"/>
              <w:ind w:left="75"/>
              <w:rPr>
                <w:rFonts w:eastAsia="Times New Roman" w:cstheme="minorHAnsi"/>
                <w:b/>
                <w:bCs/>
                <w:sz w:val="24"/>
                <w:szCs w:val="24"/>
                <w:lang w:val="es-ES_tradnl"/>
              </w:rPr>
            </w:pPr>
          </w:p>
          <w:p w14:paraId="728B8459" w14:textId="77777777" w:rsidR="00C20D33" w:rsidRDefault="00C20D33" w:rsidP="00411A19">
            <w:pPr>
              <w:spacing w:after="0" w:line="276" w:lineRule="auto"/>
              <w:ind w:left="75"/>
              <w:rPr>
                <w:rFonts w:eastAsia="Times New Roman" w:cstheme="minorHAnsi"/>
                <w:b/>
                <w:bCs/>
                <w:sz w:val="24"/>
                <w:szCs w:val="24"/>
                <w:lang w:val="es-ES_tradnl"/>
              </w:rPr>
            </w:pPr>
          </w:p>
          <w:p w14:paraId="48A6193E" w14:textId="77777777" w:rsidR="00C20D33" w:rsidRDefault="00C20D33" w:rsidP="00411A19">
            <w:pPr>
              <w:spacing w:after="0" w:line="276" w:lineRule="auto"/>
              <w:ind w:left="75"/>
              <w:rPr>
                <w:rFonts w:eastAsia="Times New Roman" w:cstheme="minorHAnsi"/>
                <w:b/>
                <w:bCs/>
                <w:sz w:val="24"/>
                <w:szCs w:val="24"/>
                <w:lang w:val="es-ES_tradnl"/>
              </w:rPr>
            </w:pPr>
          </w:p>
          <w:p w14:paraId="43632084" w14:textId="6D614BCE" w:rsidR="00A92E27" w:rsidRPr="00C20D33" w:rsidRDefault="00A92E27" w:rsidP="00411A19">
            <w:pPr>
              <w:spacing w:after="0" w:line="276" w:lineRule="auto"/>
              <w:ind w:left="75"/>
              <w:rPr>
                <w:rFonts w:eastAsia="Times New Roman" w:cstheme="minorHAnsi"/>
                <w:sz w:val="24"/>
                <w:szCs w:val="24"/>
                <w:lang w:val="es-ES_tradnl"/>
              </w:rPr>
            </w:pPr>
            <w:r w:rsidRPr="00C20D33">
              <w:rPr>
                <w:rFonts w:eastAsia="Times New Roman" w:cstheme="minorHAnsi"/>
                <w:b/>
                <w:bCs/>
                <w:sz w:val="24"/>
                <w:szCs w:val="24"/>
                <w:lang w:val="es-ES_tradnl"/>
              </w:rPr>
              <w:t xml:space="preserve">EDFU 3013 </w:t>
            </w:r>
            <w:r w:rsidRPr="00C20D33">
              <w:rPr>
                <w:rFonts w:eastAsia="Times New Roman" w:cstheme="minorHAnsi"/>
                <w:sz w:val="24"/>
                <w:szCs w:val="24"/>
                <w:lang w:val="es-ES_tradnl"/>
              </w:rPr>
              <w:t xml:space="preserve">Evaluación del </w:t>
            </w:r>
            <w:r w:rsidR="00C20D33" w:rsidRPr="00C20D33">
              <w:rPr>
                <w:rFonts w:eastAsia="Times New Roman" w:cstheme="minorHAnsi"/>
                <w:sz w:val="24"/>
                <w:szCs w:val="24"/>
                <w:lang w:val="es-ES_tradnl"/>
              </w:rPr>
              <w:t>a</w:t>
            </w:r>
            <w:r w:rsidRPr="00C20D33">
              <w:rPr>
                <w:rFonts w:eastAsia="Times New Roman" w:cstheme="minorHAnsi"/>
                <w:sz w:val="24"/>
                <w:szCs w:val="24"/>
                <w:lang w:val="es-ES_tradnl"/>
              </w:rPr>
              <w:t>prendizaje</w:t>
            </w:r>
          </w:p>
        </w:tc>
        <w:tc>
          <w:tcPr>
            <w:tcW w:w="7740" w:type="dxa"/>
            <w:vMerge w:val="restart"/>
            <w:tcBorders>
              <w:top w:val="single" w:sz="4" w:space="0" w:color="000000"/>
              <w:left w:val="single" w:sz="4" w:space="0" w:color="auto"/>
              <w:bottom w:val="nil"/>
              <w:right w:val="single" w:sz="4" w:space="0" w:color="000000"/>
            </w:tcBorders>
            <w:shd w:val="clear" w:color="auto" w:fill="E2EFD9" w:themeFill="accent6" w:themeFillTint="33"/>
            <w:tcMar>
              <w:top w:w="0" w:type="dxa"/>
              <w:left w:w="115" w:type="dxa"/>
              <w:bottom w:w="0" w:type="dxa"/>
              <w:right w:w="115" w:type="dxa"/>
            </w:tcMar>
            <w:vAlign w:val="center"/>
          </w:tcPr>
          <w:p w14:paraId="65BD81F3" w14:textId="238D32BB" w:rsidR="00E410AC" w:rsidRPr="00C20D33" w:rsidRDefault="00E410AC" w:rsidP="00536390">
            <w:pPr>
              <w:pStyle w:val="NoSpacing"/>
              <w:jc w:val="both"/>
              <w:rPr>
                <w:rFonts w:eastAsia="Times New Roman"/>
                <w:sz w:val="24"/>
                <w:szCs w:val="24"/>
                <w:lang w:val="es-ES_tradnl"/>
              </w:rPr>
            </w:pPr>
            <w:r w:rsidRPr="00C20D33">
              <w:rPr>
                <w:sz w:val="24"/>
                <w:szCs w:val="24"/>
                <w:lang w:val="es-ES_tradnl"/>
              </w:rPr>
              <w:t>Se propone crear conciencia en el/la candidata/o a maestro/a de la filosofía de la evaluación como parte del proceso educativo. Aspira, además, a promover en el/la estudiante un conocimiento de las técnicas cuantitativas y cualitativas de la evaluación y sus usos. Analizarán las técnicas de evaluación válidas y confiables para identificar, estimar, predecir y orientar las características de comportamiento de los alumnos y alumnas. Incluirá los procedimientos apropiados para la evaluación diferenciada y alterna. Se discutirá también la organización, presentación, análisis e interpretación de los datos revelados en los instrumentos de evaluación para hacer decisiones inteligentes con relación a las estrategias de la enseñanza.</w:t>
            </w:r>
          </w:p>
        </w:tc>
      </w:tr>
      <w:tr w:rsidR="00A92E27" w:rsidRPr="003A68E1" w14:paraId="1FC3D87C" w14:textId="77777777" w:rsidTr="00C20D33">
        <w:trPr>
          <w:trHeight w:val="60"/>
          <w:jc w:val="center"/>
        </w:trPr>
        <w:tc>
          <w:tcPr>
            <w:tcW w:w="4675" w:type="dxa"/>
            <w:tcBorders>
              <w:left w:val="single" w:sz="4" w:space="0" w:color="auto"/>
              <w:bottom w:val="single" w:sz="4" w:space="0" w:color="auto"/>
              <w:right w:val="single" w:sz="4" w:space="0" w:color="auto"/>
            </w:tcBorders>
            <w:shd w:val="clear" w:color="auto" w:fill="E2EFD9" w:themeFill="accent6" w:themeFillTint="33"/>
            <w:vAlign w:val="center"/>
          </w:tcPr>
          <w:p w14:paraId="20C2B77B" w14:textId="0E22E7B4" w:rsidR="00A92E27" w:rsidRPr="00C20D33" w:rsidRDefault="00A92E27" w:rsidP="00411A19">
            <w:pPr>
              <w:spacing w:after="0" w:line="276" w:lineRule="auto"/>
              <w:ind w:left="75"/>
              <w:rPr>
                <w:rFonts w:eastAsia="Times New Roman" w:cstheme="minorHAnsi"/>
                <w:sz w:val="24"/>
                <w:szCs w:val="24"/>
                <w:lang w:val="es-ES_tradnl"/>
              </w:rPr>
            </w:pPr>
          </w:p>
        </w:tc>
        <w:tc>
          <w:tcPr>
            <w:tcW w:w="7740" w:type="dxa"/>
            <w:vMerge/>
            <w:tcBorders>
              <w:left w:val="single" w:sz="4" w:space="0" w:color="auto"/>
              <w:bottom w:val="single" w:sz="4" w:space="0" w:color="auto"/>
              <w:right w:val="single" w:sz="4" w:space="0" w:color="000000"/>
            </w:tcBorders>
            <w:shd w:val="clear" w:color="auto" w:fill="E2EFD9" w:themeFill="accent6" w:themeFillTint="33"/>
            <w:tcMar>
              <w:top w:w="0" w:type="dxa"/>
              <w:left w:w="115" w:type="dxa"/>
              <w:bottom w:w="0" w:type="dxa"/>
              <w:right w:w="115" w:type="dxa"/>
            </w:tcMar>
            <w:vAlign w:val="center"/>
          </w:tcPr>
          <w:p w14:paraId="3096AEFC" w14:textId="77777777" w:rsidR="00A92E27" w:rsidRPr="00C20D33" w:rsidRDefault="00A92E27" w:rsidP="00536390">
            <w:pPr>
              <w:pStyle w:val="NoSpacing"/>
              <w:jc w:val="both"/>
              <w:rPr>
                <w:rFonts w:eastAsia="Times New Roman"/>
                <w:sz w:val="24"/>
                <w:szCs w:val="24"/>
                <w:lang w:val="es-ES_tradnl"/>
              </w:rPr>
            </w:pPr>
          </w:p>
        </w:tc>
      </w:tr>
      <w:tr w:rsidR="003C6231" w:rsidRPr="003A68E1" w14:paraId="6E3A4E5C" w14:textId="77777777" w:rsidTr="003C6231">
        <w:trPr>
          <w:trHeight w:val="60"/>
          <w:jc w:val="center"/>
        </w:trPr>
        <w:tc>
          <w:tcPr>
            <w:tcW w:w="4675" w:type="dxa"/>
            <w:tcBorders>
              <w:left w:val="single" w:sz="4" w:space="0" w:color="auto"/>
              <w:bottom w:val="single" w:sz="4" w:space="0" w:color="auto"/>
              <w:right w:val="single" w:sz="4" w:space="0" w:color="auto"/>
            </w:tcBorders>
            <w:shd w:val="clear" w:color="auto" w:fill="auto"/>
            <w:vAlign w:val="center"/>
          </w:tcPr>
          <w:p w14:paraId="3C290BD8" w14:textId="28FFE204" w:rsidR="003C6231" w:rsidRPr="00C20D33" w:rsidRDefault="003C6231" w:rsidP="00411A19">
            <w:pPr>
              <w:spacing w:after="0" w:line="276" w:lineRule="auto"/>
              <w:ind w:left="75"/>
              <w:rPr>
                <w:rFonts w:eastAsia="Times New Roman" w:cstheme="minorHAnsi"/>
                <w:sz w:val="24"/>
                <w:szCs w:val="24"/>
                <w:lang w:val="es-ES_tradnl"/>
              </w:rPr>
            </w:pPr>
            <w:r w:rsidRPr="00C20D33">
              <w:rPr>
                <w:rFonts w:eastAsia="Cambria" w:cstheme="minorHAnsi"/>
                <w:b/>
                <w:sz w:val="24"/>
                <w:szCs w:val="24"/>
                <w:lang w:val="es-ES_tradnl"/>
              </w:rPr>
              <w:t xml:space="preserve">EDFU 3030  </w:t>
            </w:r>
            <w:r w:rsidRPr="00C20D33">
              <w:rPr>
                <w:rFonts w:eastAsia="Cambria" w:cstheme="minorHAnsi"/>
                <w:sz w:val="24"/>
                <w:szCs w:val="24"/>
                <w:lang w:val="es-ES_tradnl"/>
              </w:rPr>
              <w:t>Educación para la paz</w:t>
            </w:r>
          </w:p>
        </w:tc>
        <w:tc>
          <w:tcPr>
            <w:tcW w:w="7740" w:type="dxa"/>
            <w:tcBorders>
              <w:left w:val="single" w:sz="4" w:space="0" w:color="auto"/>
              <w:bottom w:val="single" w:sz="4" w:space="0" w:color="auto"/>
              <w:right w:val="single" w:sz="4" w:space="0" w:color="000000"/>
            </w:tcBorders>
            <w:shd w:val="clear" w:color="auto" w:fill="auto"/>
            <w:tcMar>
              <w:top w:w="0" w:type="dxa"/>
              <w:left w:w="115" w:type="dxa"/>
              <w:bottom w:w="0" w:type="dxa"/>
              <w:right w:w="115" w:type="dxa"/>
            </w:tcMar>
            <w:vAlign w:val="center"/>
          </w:tcPr>
          <w:p w14:paraId="0DB830F1" w14:textId="7B8E7B3B" w:rsidR="003C6231" w:rsidRPr="00C20D33" w:rsidRDefault="003C6231" w:rsidP="003C6231">
            <w:pPr>
              <w:pStyle w:val="NoSpacing"/>
              <w:jc w:val="both"/>
              <w:rPr>
                <w:rFonts w:eastAsia="Times New Roman"/>
                <w:sz w:val="24"/>
                <w:szCs w:val="24"/>
                <w:lang w:val="es-ES_tradnl"/>
              </w:rPr>
            </w:pPr>
            <w:r w:rsidRPr="00C20D33">
              <w:rPr>
                <w:sz w:val="24"/>
                <w:szCs w:val="24"/>
                <w:lang w:val="es-PR"/>
              </w:rPr>
              <w:t>Se estudian y analizan de forma crítica los conceptos, componentes y prácticas centrales de la educación para la paz. Los derechos humanos, la no-violencia, la valoración de la diversidad, la resolución de conflictos, el desarme y el desarrollo sustentable son ejes temáticos. Este curso es de naturaleza interdisciplinaria y abierto a estudiantes de diversas facultades. Se enfatiza en la interrelación entre teoría, reflexión y acción al estudiar iniciativas en este campo. Se exploran las propuestas y las implicaciones de la educación para la paz a los asuntos sociales y educativos apremiantes globalmente y en Puerto Rico.</w:t>
            </w:r>
          </w:p>
        </w:tc>
      </w:tr>
      <w:tr w:rsidR="003C6231" w:rsidRPr="003A68E1" w14:paraId="593DDF82" w14:textId="77777777" w:rsidTr="003C6231">
        <w:trPr>
          <w:trHeight w:val="60"/>
          <w:jc w:val="center"/>
        </w:trPr>
        <w:tc>
          <w:tcPr>
            <w:tcW w:w="4675" w:type="dxa"/>
            <w:tcBorders>
              <w:left w:val="single" w:sz="4" w:space="0" w:color="auto"/>
              <w:bottom w:val="single" w:sz="4" w:space="0" w:color="auto"/>
              <w:right w:val="single" w:sz="4" w:space="0" w:color="auto"/>
            </w:tcBorders>
            <w:shd w:val="clear" w:color="auto" w:fill="E2EFD9" w:themeFill="accent6" w:themeFillTint="33"/>
            <w:vAlign w:val="center"/>
          </w:tcPr>
          <w:p w14:paraId="73DBE003" w14:textId="7E32FD81" w:rsidR="003C6231" w:rsidRPr="00C20D33" w:rsidRDefault="003C6231" w:rsidP="00411A19">
            <w:pPr>
              <w:spacing w:after="0" w:line="276" w:lineRule="auto"/>
              <w:ind w:left="75"/>
              <w:rPr>
                <w:rFonts w:eastAsia="Cambria" w:cstheme="minorHAnsi"/>
                <w:b/>
                <w:sz w:val="24"/>
                <w:szCs w:val="24"/>
                <w:lang w:val="es-ES_tradnl"/>
              </w:rPr>
            </w:pPr>
            <w:r w:rsidRPr="00C20D33">
              <w:rPr>
                <w:rFonts w:eastAsia="Times New Roman" w:cstheme="minorHAnsi"/>
                <w:b/>
                <w:bCs/>
                <w:sz w:val="24"/>
                <w:szCs w:val="24"/>
                <w:lang w:val="es-ES_tradnl"/>
              </w:rPr>
              <w:t xml:space="preserve">EDFU 3046 </w:t>
            </w:r>
            <w:r w:rsidRPr="00C20D33">
              <w:rPr>
                <w:rFonts w:eastAsia="Times New Roman" w:cstheme="minorHAnsi"/>
                <w:bCs/>
                <w:sz w:val="24"/>
                <w:szCs w:val="24"/>
                <w:lang w:val="es-ES_tradnl"/>
              </w:rPr>
              <w:t>Educación en Salud en la escuela elemental</w:t>
            </w:r>
          </w:p>
        </w:tc>
        <w:tc>
          <w:tcPr>
            <w:tcW w:w="7740" w:type="dxa"/>
            <w:tcBorders>
              <w:left w:val="single" w:sz="4" w:space="0" w:color="auto"/>
              <w:bottom w:val="single" w:sz="4" w:space="0" w:color="auto"/>
              <w:right w:val="single" w:sz="4" w:space="0" w:color="000000"/>
            </w:tcBorders>
            <w:shd w:val="clear" w:color="auto" w:fill="E2EFD9" w:themeFill="accent6" w:themeFillTint="33"/>
            <w:tcMar>
              <w:top w:w="0" w:type="dxa"/>
              <w:left w:w="115" w:type="dxa"/>
              <w:bottom w:w="0" w:type="dxa"/>
              <w:right w:w="115" w:type="dxa"/>
            </w:tcMar>
            <w:vAlign w:val="center"/>
          </w:tcPr>
          <w:p w14:paraId="552DCDD2" w14:textId="05342EC9" w:rsidR="003C6231" w:rsidRPr="00C20D33" w:rsidRDefault="003C6231" w:rsidP="003C6231">
            <w:pPr>
              <w:pStyle w:val="NoSpacing"/>
              <w:jc w:val="both"/>
              <w:rPr>
                <w:sz w:val="24"/>
                <w:szCs w:val="24"/>
                <w:lang w:val="es-PR"/>
              </w:rPr>
            </w:pPr>
            <w:r w:rsidRPr="00C20D33">
              <w:rPr>
                <w:color w:val="000000"/>
                <w:sz w:val="24"/>
                <w:szCs w:val="24"/>
                <w:lang w:val="es-ES_tradnl"/>
              </w:rPr>
              <w:t>Estudio del contenido básico, los objetivos, la organización y la implantación de un Programa Integral de Educación para la Salud en la Escuela Elemental.</w:t>
            </w:r>
          </w:p>
        </w:tc>
      </w:tr>
      <w:tr w:rsidR="003C6231" w:rsidRPr="003A68E1" w14:paraId="5E153ACE" w14:textId="77777777" w:rsidTr="003C6231">
        <w:trPr>
          <w:trHeight w:val="60"/>
          <w:jc w:val="center"/>
        </w:trPr>
        <w:tc>
          <w:tcPr>
            <w:tcW w:w="4675" w:type="dxa"/>
            <w:tcBorders>
              <w:left w:val="single" w:sz="4" w:space="0" w:color="auto"/>
              <w:bottom w:val="single" w:sz="4" w:space="0" w:color="auto"/>
              <w:right w:val="single" w:sz="4" w:space="0" w:color="auto"/>
            </w:tcBorders>
            <w:shd w:val="clear" w:color="auto" w:fill="auto"/>
            <w:vAlign w:val="center"/>
          </w:tcPr>
          <w:p w14:paraId="3ACDE52C" w14:textId="5A731544" w:rsidR="003C6231" w:rsidRPr="00C20D33" w:rsidRDefault="003C6231" w:rsidP="00411A19">
            <w:pPr>
              <w:spacing w:after="0" w:line="276" w:lineRule="auto"/>
              <w:ind w:left="75"/>
              <w:rPr>
                <w:rFonts w:eastAsia="Times New Roman" w:cstheme="minorHAnsi"/>
                <w:b/>
                <w:bCs/>
                <w:sz w:val="24"/>
                <w:szCs w:val="24"/>
                <w:lang w:val="es-ES_tradnl"/>
              </w:rPr>
            </w:pPr>
            <w:r w:rsidRPr="00C20D33">
              <w:rPr>
                <w:rFonts w:eastAsia="Times New Roman" w:cstheme="minorHAnsi"/>
                <w:b/>
                <w:sz w:val="24"/>
                <w:szCs w:val="24"/>
                <w:lang w:val="es-ES_tradnl"/>
              </w:rPr>
              <w:t>EDFU 3050</w:t>
            </w:r>
            <w:r w:rsidRPr="00C20D33">
              <w:rPr>
                <w:rFonts w:eastAsia="Times New Roman" w:cstheme="minorHAnsi"/>
                <w:sz w:val="24"/>
                <w:szCs w:val="24"/>
                <w:lang w:val="es-ES_tradnl"/>
              </w:rPr>
              <w:t xml:space="preserve"> </w:t>
            </w:r>
            <w:r w:rsidRPr="00C20D33">
              <w:rPr>
                <w:rFonts w:cstheme="minorHAnsi"/>
                <w:color w:val="000000"/>
                <w:sz w:val="24"/>
                <w:szCs w:val="24"/>
                <w:lang w:val="es-ES_tradnl"/>
              </w:rPr>
              <w:t>Salud y seguridad en la educación de la niñez temprana (infantes, maternales y preescolares)</w:t>
            </w:r>
          </w:p>
        </w:tc>
        <w:tc>
          <w:tcPr>
            <w:tcW w:w="7740" w:type="dxa"/>
            <w:tcBorders>
              <w:left w:val="single" w:sz="4" w:space="0" w:color="auto"/>
              <w:bottom w:val="single" w:sz="4" w:space="0" w:color="auto"/>
              <w:right w:val="single" w:sz="4" w:space="0" w:color="000000"/>
            </w:tcBorders>
            <w:shd w:val="clear" w:color="auto" w:fill="auto"/>
            <w:tcMar>
              <w:top w:w="0" w:type="dxa"/>
              <w:left w:w="115" w:type="dxa"/>
              <w:bottom w:w="0" w:type="dxa"/>
              <w:right w:w="115" w:type="dxa"/>
            </w:tcMar>
            <w:vAlign w:val="center"/>
          </w:tcPr>
          <w:p w14:paraId="07DDABD2" w14:textId="0C03B2AA" w:rsidR="003C6231" w:rsidRPr="00C20D33" w:rsidRDefault="003C6231" w:rsidP="003C6231">
            <w:pPr>
              <w:pStyle w:val="NoSpacing"/>
              <w:jc w:val="both"/>
              <w:rPr>
                <w:color w:val="000000"/>
                <w:sz w:val="24"/>
                <w:szCs w:val="24"/>
                <w:lang w:val="es-ES_tradnl"/>
              </w:rPr>
            </w:pPr>
            <w:r w:rsidRPr="00C20D33">
              <w:rPr>
                <w:color w:val="000000"/>
                <w:sz w:val="24"/>
                <w:szCs w:val="24"/>
                <w:lang w:val="es-ES_tradnl"/>
              </w:rPr>
              <w:t xml:space="preserve"> Se hace énfasis en la identificación de problemas, la planificación, el desarrollo y la evaluación de servicios de salud y seguridad en la educación de infantes, maternales y preescolares. Se analizan las políticas de salud, la reglamentación vigente y los estándares aplicables. Tiene como requisito un mínimo de 15 horas de experiencias de campo.</w:t>
            </w:r>
          </w:p>
        </w:tc>
      </w:tr>
      <w:tr w:rsidR="003C6231" w:rsidRPr="003A68E1" w14:paraId="6F89FC0A" w14:textId="441B825C" w:rsidTr="003C6231">
        <w:trPr>
          <w:trHeight w:val="1508"/>
          <w:jc w:val="center"/>
        </w:trPr>
        <w:tc>
          <w:tcPr>
            <w:tcW w:w="4675" w:type="dxa"/>
            <w:tcBorders>
              <w:top w:val="single" w:sz="4" w:space="0" w:color="auto"/>
              <w:left w:val="single" w:sz="4" w:space="0" w:color="auto"/>
              <w:right w:val="single" w:sz="4" w:space="0" w:color="auto"/>
            </w:tcBorders>
            <w:shd w:val="clear" w:color="auto" w:fill="E2EFD9" w:themeFill="accent6" w:themeFillTint="33"/>
            <w:vAlign w:val="center"/>
          </w:tcPr>
          <w:p w14:paraId="5AD79A0E" w14:textId="78E497AF" w:rsidR="003C6231" w:rsidRPr="00C20D33" w:rsidRDefault="003C6231" w:rsidP="00411A19">
            <w:pPr>
              <w:spacing w:after="0" w:line="276" w:lineRule="auto"/>
              <w:ind w:left="75"/>
              <w:rPr>
                <w:rFonts w:eastAsia="Times New Roman" w:cstheme="minorHAnsi"/>
                <w:sz w:val="24"/>
                <w:szCs w:val="24"/>
                <w:lang w:val="es-ES_tradnl"/>
              </w:rPr>
            </w:pPr>
            <w:r w:rsidRPr="00C20D33">
              <w:rPr>
                <w:rFonts w:eastAsia="Times New Roman" w:cstheme="minorHAnsi"/>
                <w:b/>
                <w:bCs/>
                <w:sz w:val="24"/>
                <w:szCs w:val="24"/>
                <w:lang w:val="es-ES_tradnl"/>
              </w:rPr>
              <w:lastRenderedPageBreak/>
              <w:t xml:space="preserve">EDFU 4007 </w:t>
            </w:r>
            <w:r w:rsidRPr="00C20D33">
              <w:rPr>
                <w:rFonts w:eastAsia="Times New Roman" w:cstheme="minorHAnsi"/>
                <w:sz w:val="24"/>
                <w:szCs w:val="24"/>
                <w:lang w:val="es-ES_tradnl"/>
              </w:rPr>
              <w:t>Principios de investigación educativa</w:t>
            </w:r>
          </w:p>
        </w:tc>
        <w:tc>
          <w:tcPr>
            <w:tcW w:w="7740" w:type="dxa"/>
            <w:tcBorders>
              <w:top w:val="single" w:sz="4" w:space="0" w:color="000000"/>
              <w:left w:val="single" w:sz="4" w:space="0" w:color="auto"/>
              <w:right w:val="single" w:sz="4" w:space="0" w:color="000000"/>
            </w:tcBorders>
            <w:shd w:val="clear" w:color="auto" w:fill="E2EFD9" w:themeFill="accent6" w:themeFillTint="33"/>
            <w:tcMar>
              <w:top w:w="0" w:type="dxa"/>
              <w:left w:w="115" w:type="dxa"/>
              <w:bottom w:w="0" w:type="dxa"/>
              <w:right w:w="115" w:type="dxa"/>
            </w:tcMar>
            <w:vAlign w:val="center"/>
          </w:tcPr>
          <w:p w14:paraId="32FA7701" w14:textId="7ADFEF9F" w:rsidR="003C6231" w:rsidRPr="00C20D33" w:rsidRDefault="003C6231" w:rsidP="003C6231">
            <w:pPr>
              <w:pStyle w:val="NoSpacing"/>
              <w:jc w:val="both"/>
              <w:rPr>
                <w:rFonts w:eastAsia="Times New Roman"/>
                <w:sz w:val="24"/>
                <w:szCs w:val="24"/>
                <w:lang w:val="es-ES_tradnl"/>
              </w:rPr>
            </w:pPr>
            <w:r w:rsidRPr="00C20D33">
              <w:rPr>
                <w:sz w:val="24"/>
                <w:szCs w:val="24"/>
                <w:lang w:val="es-ES_tradnl"/>
              </w:rPr>
              <w:t>En este curso se analizan las diferentes posiciones en cuanto a los problemas teóricos y prácticos de las metodologías utilizadas para realizar la investigación educativa. Se identifican posibles problemas propicios para realizar la investigación educativa con énfasis en el maestro como investigador. También se practican diferentes métodos y técnicas de investigación utilizadas para realizar una investigación en el ámbito educativo.</w:t>
            </w:r>
          </w:p>
        </w:tc>
      </w:tr>
      <w:tr w:rsidR="003C6231" w:rsidRPr="003A68E1" w14:paraId="17E335A4" w14:textId="77777777" w:rsidTr="00C20D33">
        <w:trPr>
          <w:trHeight w:val="1508"/>
          <w:jc w:val="center"/>
        </w:trPr>
        <w:tc>
          <w:tcPr>
            <w:tcW w:w="4675" w:type="dxa"/>
            <w:tcBorders>
              <w:top w:val="single" w:sz="4" w:space="0" w:color="auto"/>
              <w:left w:val="single" w:sz="4" w:space="0" w:color="auto"/>
              <w:right w:val="single" w:sz="4" w:space="0" w:color="auto"/>
            </w:tcBorders>
            <w:vAlign w:val="center"/>
          </w:tcPr>
          <w:p w14:paraId="637A077E" w14:textId="0CE3268B" w:rsidR="003C6231" w:rsidRPr="003C6231" w:rsidRDefault="003C6231" w:rsidP="00411A19">
            <w:pPr>
              <w:spacing w:after="0" w:line="276" w:lineRule="auto"/>
              <w:ind w:left="75"/>
              <w:rPr>
                <w:rFonts w:eastAsia="Times New Roman" w:cstheme="minorHAnsi"/>
                <w:b/>
                <w:bCs/>
                <w:sz w:val="24"/>
                <w:szCs w:val="24"/>
                <w:lang w:val="es-PR"/>
              </w:rPr>
            </w:pPr>
            <w:r w:rsidRPr="00C20D33">
              <w:rPr>
                <w:rFonts w:eastAsia="Times New Roman" w:cstheme="minorHAnsi"/>
                <w:b/>
                <w:bCs/>
                <w:sz w:val="24"/>
                <w:szCs w:val="24"/>
                <w:lang w:val="es-ES_tradnl"/>
              </w:rPr>
              <w:t xml:space="preserve">EDFU 4016 </w:t>
            </w:r>
            <w:r w:rsidRPr="00C20D33">
              <w:rPr>
                <w:rFonts w:eastAsia="Times New Roman" w:cstheme="minorHAnsi"/>
                <w:sz w:val="24"/>
                <w:szCs w:val="24"/>
                <w:lang w:val="es-ES_tradnl"/>
              </w:rPr>
              <w:t>Estadística básica en la educación</w:t>
            </w:r>
          </w:p>
        </w:tc>
        <w:tc>
          <w:tcPr>
            <w:tcW w:w="7740" w:type="dxa"/>
            <w:tcBorders>
              <w:top w:val="single" w:sz="4" w:space="0" w:color="000000"/>
              <w:left w:val="single" w:sz="4" w:space="0" w:color="auto"/>
              <w:right w:val="single" w:sz="4" w:space="0" w:color="000000"/>
            </w:tcBorders>
            <w:tcMar>
              <w:top w:w="0" w:type="dxa"/>
              <w:left w:w="115" w:type="dxa"/>
              <w:bottom w:w="0" w:type="dxa"/>
              <w:right w:w="115" w:type="dxa"/>
            </w:tcMar>
            <w:vAlign w:val="center"/>
          </w:tcPr>
          <w:p w14:paraId="1EF19C91" w14:textId="77777777" w:rsidR="003C6231" w:rsidRDefault="003C6231" w:rsidP="003C6231">
            <w:pPr>
              <w:pStyle w:val="NoSpacing"/>
              <w:jc w:val="both"/>
              <w:rPr>
                <w:sz w:val="24"/>
                <w:szCs w:val="24"/>
                <w:lang w:val="es-ES_tradnl"/>
              </w:rPr>
            </w:pPr>
            <w:r w:rsidRPr="00C20D33">
              <w:rPr>
                <w:sz w:val="24"/>
                <w:szCs w:val="24"/>
                <w:lang w:val="es-ES_tradnl"/>
              </w:rPr>
              <w:t>Curso introductorio a los principios de estadística con énfasis especial en métodos no paramétricos.  Diseñado especialmente para preparar estudiantes para un curso a nivel graduado en técnicas de investigación en educación.  Cubrirá: Elementos fundamentales en la recolección de datos, nociones sobre probabilidad, la curva normal, medidas de tendencia central y de dispersión, para dar paso al estudio de los métodos paramétricos y no paramétricos de uso más común.  Se proveerán experiencias de laboratorio como parte esencial de este curso.</w:t>
            </w:r>
          </w:p>
          <w:p w14:paraId="5B7E5080" w14:textId="77777777" w:rsidR="003C6231" w:rsidRPr="00C20D33" w:rsidRDefault="003C6231" w:rsidP="003C6231">
            <w:pPr>
              <w:pStyle w:val="NoSpacing"/>
              <w:jc w:val="both"/>
              <w:rPr>
                <w:sz w:val="24"/>
                <w:szCs w:val="24"/>
                <w:lang w:val="es-ES_tradnl"/>
              </w:rPr>
            </w:pPr>
          </w:p>
        </w:tc>
      </w:tr>
      <w:tr w:rsidR="003C6231" w:rsidRPr="003A68E1" w14:paraId="51A2586B" w14:textId="458BA84D" w:rsidTr="00411A19">
        <w:trPr>
          <w:trHeight w:val="549"/>
          <w:jc w:val="center"/>
        </w:trPr>
        <w:tc>
          <w:tcPr>
            <w:tcW w:w="4675"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0E4DEB99" w14:textId="77777777" w:rsidR="003C6231" w:rsidRDefault="003C6231" w:rsidP="00411A19">
            <w:pPr>
              <w:spacing w:after="0" w:line="276" w:lineRule="auto"/>
              <w:ind w:left="75"/>
              <w:rPr>
                <w:rFonts w:eastAsia="Times New Roman" w:cstheme="minorHAnsi"/>
                <w:b/>
                <w:bCs/>
                <w:sz w:val="24"/>
                <w:szCs w:val="24"/>
                <w:lang w:val="es-ES_tradnl"/>
              </w:rPr>
            </w:pPr>
          </w:p>
          <w:p w14:paraId="575F5373" w14:textId="77777777" w:rsidR="003C6231" w:rsidRDefault="003C6231" w:rsidP="00411A19">
            <w:pPr>
              <w:spacing w:after="0" w:line="276" w:lineRule="auto"/>
              <w:ind w:left="75"/>
              <w:rPr>
                <w:rFonts w:eastAsia="Times New Roman" w:cstheme="minorHAnsi"/>
                <w:b/>
                <w:bCs/>
                <w:sz w:val="24"/>
                <w:szCs w:val="24"/>
                <w:lang w:val="es-ES_tradnl"/>
              </w:rPr>
            </w:pPr>
          </w:p>
          <w:p w14:paraId="52DC503E" w14:textId="77777777" w:rsidR="003C6231" w:rsidRDefault="003C6231" w:rsidP="00411A19">
            <w:pPr>
              <w:spacing w:after="0" w:line="276" w:lineRule="auto"/>
              <w:ind w:left="75"/>
              <w:rPr>
                <w:rFonts w:eastAsia="Times New Roman" w:cstheme="minorHAnsi"/>
                <w:b/>
                <w:bCs/>
                <w:sz w:val="24"/>
                <w:szCs w:val="24"/>
                <w:lang w:val="es-ES_tradnl"/>
              </w:rPr>
            </w:pPr>
          </w:p>
          <w:p w14:paraId="23321252" w14:textId="77777777" w:rsidR="003C6231" w:rsidRDefault="003C6231" w:rsidP="00411A19">
            <w:pPr>
              <w:spacing w:after="0" w:line="276" w:lineRule="auto"/>
              <w:ind w:left="75"/>
              <w:rPr>
                <w:rFonts w:eastAsia="Times New Roman" w:cstheme="minorHAnsi"/>
                <w:b/>
                <w:bCs/>
                <w:sz w:val="24"/>
                <w:szCs w:val="24"/>
                <w:lang w:val="es-ES_tradnl"/>
              </w:rPr>
            </w:pPr>
          </w:p>
          <w:p w14:paraId="30D7476D" w14:textId="77777777" w:rsidR="003C6231" w:rsidRDefault="003C6231" w:rsidP="00411A19">
            <w:pPr>
              <w:spacing w:after="0" w:line="276" w:lineRule="auto"/>
              <w:ind w:left="75"/>
              <w:rPr>
                <w:rFonts w:eastAsia="Times New Roman" w:cstheme="minorHAnsi"/>
                <w:b/>
                <w:bCs/>
                <w:sz w:val="24"/>
                <w:szCs w:val="24"/>
                <w:lang w:val="es-ES_tradnl"/>
              </w:rPr>
            </w:pPr>
          </w:p>
          <w:p w14:paraId="4D442D5F" w14:textId="52F58AB6" w:rsidR="003C6231" w:rsidRPr="00C20D33" w:rsidRDefault="003C6231" w:rsidP="00411A19">
            <w:pPr>
              <w:spacing w:after="0" w:line="276" w:lineRule="auto"/>
              <w:ind w:left="75"/>
              <w:rPr>
                <w:rFonts w:eastAsia="Times New Roman" w:cstheme="minorHAnsi"/>
                <w:sz w:val="24"/>
                <w:szCs w:val="24"/>
                <w:lang w:val="es-ES_tradnl"/>
              </w:rPr>
            </w:pPr>
            <w:r w:rsidRPr="00C20D33">
              <w:rPr>
                <w:rFonts w:eastAsia="Times New Roman" w:cstheme="minorHAnsi"/>
                <w:b/>
                <w:bCs/>
                <w:sz w:val="24"/>
                <w:szCs w:val="24"/>
                <w:lang w:val="es-ES_tradnl"/>
              </w:rPr>
              <w:t xml:space="preserve">EDFU 4019 </w:t>
            </w:r>
            <w:r w:rsidRPr="00C20D33">
              <w:rPr>
                <w:rFonts w:eastAsia="Times New Roman" w:cstheme="minorHAnsi"/>
                <w:sz w:val="24"/>
                <w:szCs w:val="24"/>
                <w:lang w:val="es-ES_tradnl"/>
              </w:rPr>
              <w:t>Fundamentos filosóficos de la educación</w:t>
            </w:r>
          </w:p>
        </w:tc>
        <w:tc>
          <w:tcPr>
            <w:tcW w:w="7740" w:type="dxa"/>
            <w:vMerge w:val="restart"/>
            <w:tcBorders>
              <w:top w:val="single" w:sz="4" w:space="0" w:color="000000"/>
              <w:left w:val="single" w:sz="4" w:space="0" w:color="auto"/>
              <w:bottom w:val="nil"/>
              <w:right w:val="single" w:sz="4" w:space="0" w:color="auto"/>
            </w:tcBorders>
            <w:shd w:val="clear" w:color="auto" w:fill="E2EFD9" w:themeFill="accent6" w:themeFillTint="33"/>
            <w:tcMar>
              <w:top w:w="0" w:type="dxa"/>
              <w:left w:w="115" w:type="dxa"/>
              <w:bottom w:w="0" w:type="dxa"/>
              <w:right w:w="115" w:type="dxa"/>
            </w:tcMar>
            <w:vAlign w:val="center"/>
          </w:tcPr>
          <w:p w14:paraId="7A042439" w14:textId="2CAF77BD" w:rsidR="003C6231" w:rsidRDefault="003C6231" w:rsidP="003C6231">
            <w:pPr>
              <w:pStyle w:val="NoSpacing"/>
              <w:shd w:val="clear" w:color="auto" w:fill="E2EFD9" w:themeFill="accent6" w:themeFillTint="33"/>
              <w:jc w:val="both"/>
              <w:rPr>
                <w:sz w:val="24"/>
                <w:szCs w:val="24"/>
                <w:lang w:val="es-ES_tradnl"/>
              </w:rPr>
            </w:pPr>
            <w:r w:rsidRPr="00C20D33">
              <w:rPr>
                <w:sz w:val="24"/>
                <w:szCs w:val="24"/>
                <w:lang w:val="es-ES_tradnl"/>
              </w:rPr>
              <w:t xml:space="preserve">Este curso es una introducción a la reflexión filosófica sobre la educación. El propósito es que los/as estudiantes se involucren en la actividad de </w:t>
            </w:r>
            <w:r w:rsidRPr="00C20D33">
              <w:rPr>
                <w:i/>
                <w:iCs/>
                <w:sz w:val="24"/>
                <w:szCs w:val="24"/>
                <w:lang w:val="es-ES_tradnl"/>
              </w:rPr>
              <w:t xml:space="preserve">filosofar la educación </w:t>
            </w:r>
            <w:r w:rsidRPr="00C20D33">
              <w:rPr>
                <w:sz w:val="24"/>
                <w:szCs w:val="24"/>
                <w:lang w:val="es-ES_tradnl"/>
              </w:rPr>
              <w:t>de modo crítico e imaginativo. Se estudian autores/as y corrientes del pensamiento filosófico pertinentes a la educación, desde Sócrates hasta la actualidad. Se discuten, considerando diversas perspectivas de interpretación, cuestiones ontológicas, epistemológicas, éticas y sociopolíticas que se entrelazan al teorizar y practicar la educación. Se analizan filosofías, teorías y prácticas educativas en Puerto Rico y otros contextos. El curso utiliza diversas estrategias de enseñanza, aprendizaje y evaluación que estimulan la participación activa de los/as estudiantes, así como la reflexión, análisis y problematización de las ideas estudiadas.</w:t>
            </w:r>
          </w:p>
          <w:p w14:paraId="62915717" w14:textId="746C43F0" w:rsidR="003C6231" w:rsidRDefault="003C6231" w:rsidP="003C6231">
            <w:pPr>
              <w:pStyle w:val="NoSpacing"/>
              <w:jc w:val="both"/>
              <w:rPr>
                <w:b/>
                <w:sz w:val="24"/>
                <w:szCs w:val="24"/>
                <w:lang w:val="es-ES_tradnl"/>
              </w:rPr>
            </w:pPr>
          </w:p>
          <w:p w14:paraId="78773D3A" w14:textId="1174E1C5" w:rsidR="00411A19" w:rsidRDefault="00411A19" w:rsidP="003C6231">
            <w:pPr>
              <w:pStyle w:val="NoSpacing"/>
              <w:jc w:val="both"/>
              <w:rPr>
                <w:b/>
                <w:sz w:val="24"/>
                <w:szCs w:val="24"/>
                <w:lang w:val="es-ES_tradnl"/>
              </w:rPr>
            </w:pPr>
          </w:p>
          <w:p w14:paraId="4C05F43E" w14:textId="77777777" w:rsidR="00411A19" w:rsidRPr="00C20D33" w:rsidRDefault="00411A19" w:rsidP="003C6231">
            <w:pPr>
              <w:pStyle w:val="NoSpacing"/>
              <w:jc w:val="both"/>
              <w:rPr>
                <w:b/>
                <w:sz w:val="24"/>
                <w:szCs w:val="24"/>
                <w:lang w:val="es-ES_tradnl"/>
              </w:rPr>
            </w:pPr>
          </w:p>
          <w:p w14:paraId="1B496466" w14:textId="2A60A83A" w:rsidR="003C6231" w:rsidRPr="00C20D33" w:rsidRDefault="003C6231" w:rsidP="003C6231">
            <w:pPr>
              <w:pStyle w:val="NoSpacing"/>
              <w:jc w:val="both"/>
              <w:rPr>
                <w:rFonts w:eastAsia="Times New Roman"/>
                <w:sz w:val="24"/>
                <w:szCs w:val="24"/>
                <w:lang w:val="es-ES_tradnl"/>
              </w:rPr>
            </w:pPr>
          </w:p>
        </w:tc>
      </w:tr>
      <w:tr w:rsidR="003C6231" w:rsidRPr="003A68E1" w14:paraId="67ECB981" w14:textId="77777777" w:rsidTr="00411A19">
        <w:trPr>
          <w:trHeight w:val="60"/>
          <w:jc w:val="center"/>
        </w:trPr>
        <w:tc>
          <w:tcPr>
            <w:tcW w:w="4675" w:type="dxa"/>
            <w:tcBorders>
              <w:left w:val="single" w:sz="4" w:space="0" w:color="auto"/>
              <w:right w:val="single" w:sz="4" w:space="0" w:color="auto"/>
            </w:tcBorders>
            <w:shd w:val="clear" w:color="auto" w:fill="E2EFD9" w:themeFill="accent6" w:themeFillTint="33"/>
            <w:vAlign w:val="center"/>
          </w:tcPr>
          <w:p w14:paraId="66C2BEDA" w14:textId="77777777" w:rsidR="003C6231" w:rsidRPr="00C20D33" w:rsidRDefault="003C6231" w:rsidP="003A68E1">
            <w:pPr>
              <w:spacing w:after="0" w:line="276" w:lineRule="auto"/>
              <w:ind w:left="75"/>
              <w:rPr>
                <w:rFonts w:eastAsia="Times New Roman" w:cstheme="minorHAnsi"/>
                <w:sz w:val="24"/>
                <w:szCs w:val="24"/>
                <w:lang w:val="es-ES_tradnl"/>
              </w:rPr>
            </w:pPr>
          </w:p>
        </w:tc>
        <w:tc>
          <w:tcPr>
            <w:tcW w:w="7740" w:type="dxa"/>
            <w:vMerge/>
            <w:tcBorders>
              <w:left w:val="single" w:sz="4" w:space="0" w:color="auto"/>
              <w:bottom w:val="single" w:sz="4" w:space="0" w:color="000000"/>
              <w:right w:val="single" w:sz="4" w:space="0" w:color="auto"/>
            </w:tcBorders>
            <w:shd w:val="clear" w:color="auto" w:fill="E2EFD9" w:themeFill="accent6" w:themeFillTint="33"/>
            <w:tcMar>
              <w:top w:w="0" w:type="dxa"/>
              <w:left w:w="115" w:type="dxa"/>
              <w:bottom w:w="0" w:type="dxa"/>
              <w:right w:w="115" w:type="dxa"/>
            </w:tcMar>
            <w:vAlign w:val="center"/>
          </w:tcPr>
          <w:p w14:paraId="4D5C45C0" w14:textId="77777777" w:rsidR="003C6231" w:rsidRPr="00C20D33" w:rsidRDefault="003C6231" w:rsidP="003C6231">
            <w:pPr>
              <w:pStyle w:val="NoSpacing"/>
              <w:jc w:val="both"/>
              <w:rPr>
                <w:rFonts w:eastAsia="Times New Roman"/>
                <w:sz w:val="24"/>
                <w:szCs w:val="24"/>
                <w:lang w:val="es-ES_tradnl"/>
              </w:rPr>
            </w:pPr>
          </w:p>
        </w:tc>
      </w:tr>
      <w:tr w:rsidR="003C6231" w:rsidRPr="003A68E1" w14:paraId="0E2F557D" w14:textId="77777777" w:rsidTr="00C20D33">
        <w:trPr>
          <w:trHeight w:val="60"/>
          <w:jc w:val="center"/>
        </w:trPr>
        <w:tc>
          <w:tcPr>
            <w:tcW w:w="4675" w:type="dxa"/>
            <w:tcBorders>
              <w:top w:val="single" w:sz="4" w:space="0" w:color="auto"/>
              <w:left w:val="single" w:sz="4" w:space="0" w:color="auto"/>
              <w:bottom w:val="single" w:sz="4" w:space="0" w:color="auto"/>
              <w:right w:val="single" w:sz="4" w:space="0" w:color="auto"/>
            </w:tcBorders>
            <w:vAlign w:val="center"/>
          </w:tcPr>
          <w:p w14:paraId="0B686942" w14:textId="77777777" w:rsidR="003C6231" w:rsidRDefault="003C6231" w:rsidP="00411A19">
            <w:pPr>
              <w:spacing w:after="0" w:line="276" w:lineRule="auto"/>
              <w:ind w:left="75"/>
              <w:rPr>
                <w:rFonts w:eastAsia="Times New Roman" w:cstheme="minorHAnsi"/>
                <w:b/>
                <w:bCs/>
                <w:sz w:val="24"/>
                <w:szCs w:val="24"/>
                <w:lang w:val="es-ES_tradnl"/>
              </w:rPr>
            </w:pPr>
          </w:p>
          <w:p w14:paraId="309824A8" w14:textId="77777777" w:rsidR="003C6231" w:rsidRDefault="003C6231" w:rsidP="00411A19">
            <w:pPr>
              <w:spacing w:after="0" w:line="276" w:lineRule="auto"/>
              <w:ind w:left="75"/>
              <w:rPr>
                <w:rFonts w:eastAsia="Times New Roman" w:cstheme="minorHAnsi"/>
                <w:b/>
                <w:bCs/>
                <w:sz w:val="24"/>
                <w:szCs w:val="24"/>
                <w:lang w:val="es-ES_tradnl"/>
              </w:rPr>
            </w:pPr>
          </w:p>
          <w:p w14:paraId="64DEBC20" w14:textId="3F9ACC30" w:rsidR="003C6231" w:rsidRPr="00C20D33" w:rsidRDefault="003C6231" w:rsidP="00411A19">
            <w:pPr>
              <w:spacing w:after="0" w:line="276" w:lineRule="auto"/>
              <w:ind w:left="75"/>
              <w:rPr>
                <w:rFonts w:eastAsia="Times New Roman" w:cstheme="minorHAnsi"/>
                <w:b/>
                <w:bCs/>
                <w:sz w:val="24"/>
                <w:szCs w:val="24"/>
                <w:lang w:val="es-ES_tradnl"/>
              </w:rPr>
            </w:pPr>
            <w:r w:rsidRPr="00C20D33">
              <w:rPr>
                <w:rFonts w:eastAsia="Times New Roman" w:cstheme="minorHAnsi"/>
                <w:b/>
                <w:bCs/>
                <w:sz w:val="24"/>
                <w:szCs w:val="24"/>
                <w:lang w:val="es-ES_tradnl"/>
              </w:rPr>
              <w:t xml:space="preserve">EDFU 4992 </w:t>
            </w:r>
            <w:r w:rsidRPr="00C20D33">
              <w:rPr>
                <w:rFonts w:eastAsia="Times New Roman" w:cstheme="minorHAnsi"/>
                <w:bCs/>
                <w:sz w:val="24"/>
                <w:szCs w:val="24"/>
                <w:lang w:val="es-ES_tradnl"/>
              </w:rPr>
              <w:t>Seminario sobre género y educación</w:t>
            </w:r>
          </w:p>
          <w:p w14:paraId="77E9A5EF" w14:textId="77777777" w:rsidR="003C6231" w:rsidRPr="00C20D33" w:rsidRDefault="003C6231" w:rsidP="00411A19">
            <w:pPr>
              <w:spacing w:after="0" w:line="276" w:lineRule="auto"/>
              <w:ind w:left="75"/>
              <w:rPr>
                <w:rFonts w:eastAsia="Times New Roman" w:cstheme="minorHAnsi"/>
                <w:b/>
                <w:bCs/>
                <w:sz w:val="24"/>
                <w:szCs w:val="24"/>
                <w:lang w:val="es-ES_tradnl"/>
              </w:rPr>
            </w:pPr>
          </w:p>
          <w:p w14:paraId="1E5A83AB" w14:textId="4FE3F98E" w:rsidR="003C6231" w:rsidRPr="00C20D33" w:rsidRDefault="003C6231" w:rsidP="00411A19">
            <w:pPr>
              <w:pStyle w:val="Heading1"/>
              <w:ind w:left="75"/>
              <w:jc w:val="left"/>
              <w:rPr>
                <w:rFonts w:asciiTheme="minorHAnsi" w:eastAsia="Times New Roman" w:hAnsiTheme="minorHAnsi" w:cstheme="minorHAnsi"/>
                <w:b w:val="0"/>
                <w:bCs w:val="0"/>
                <w:sz w:val="24"/>
                <w:szCs w:val="24"/>
              </w:rPr>
            </w:pPr>
          </w:p>
        </w:tc>
        <w:tc>
          <w:tcPr>
            <w:tcW w:w="7740"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vAlign w:val="center"/>
          </w:tcPr>
          <w:p w14:paraId="1179F16B" w14:textId="1B5BA5A6" w:rsidR="003C6231" w:rsidRPr="00C20D33" w:rsidRDefault="003C6231" w:rsidP="003C6231">
            <w:pPr>
              <w:pStyle w:val="NoSpacing"/>
              <w:jc w:val="both"/>
              <w:rPr>
                <w:rFonts w:eastAsia="Times New Roman"/>
                <w:sz w:val="24"/>
                <w:szCs w:val="24"/>
                <w:lang w:val="es-ES_tradnl"/>
              </w:rPr>
            </w:pPr>
            <w:r w:rsidRPr="00C20D33">
              <w:rPr>
                <w:sz w:val="24"/>
                <w:szCs w:val="24"/>
                <w:lang w:val="es-ES_tradnl"/>
              </w:rPr>
              <w:t>An</w:t>
            </w:r>
            <w:r w:rsidRPr="00C20D33">
              <w:rPr>
                <w:rFonts w:eastAsia="Calibri"/>
                <w:sz w:val="24"/>
                <w:szCs w:val="24"/>
                <w:lang w:val="es-ES_tradnl"/>
              </w:rPr>
              <w:t>á</w:t>
            </w:r>
            <w:r w:rsidRPr="00C20D33">
              <w:rPr>
                <w:sz w:val="24"/>
                <w:szCs w:val="24"/>
                <w:lang w:val="es-ES_tradnl"/>
              </w:rPr>
              <w:t>lisis de la educaci</w:t>
            </w:r>
            <w:r w:rsidRPr="00C20D33">
              <w:rPr>
                <w:rFonts w:eastAsia="Calibri"/>
                <w:sz w:val="24"/>
                <w:szCs w:val="24"/>
                <w:lang w:val="es-ES_tradnl"/>
              </w:rPr>
              <w:t>ó</w:t>
            </w:r>
            <w:r w:rsidRPr="00C20D33">
              <w:rPr>
                <w:sz w:val="24"/>
                <w:szCs w:val="24"/>
                <w:lang w:val="es-ES_tradnl"/>
              </w:rPr>
              <w:t>n desde una perspectiva de g</w:t>
            </w:r>
            <w:r w:rsidRPr="00C20D33">
              <w:rPr>
                <w:rFonts w:eastAsia="Calibri"/>
                <w:sz w:val="24"/>
                <w:szCs w:val="24"/>
                <w:lang w:val="es-ES_tradnl"/>
              </w:rPr>
              <w:t>é</w:t>
            </w:r>
            <w:r w:rsidRPr="00C20D33">
              <w:rPr>
                <w:sz w:val="24"/>
                <w:szCs w:val="24"/>
                <w:lang w:val="es-ES_tradnl"/>
              </w:rPr>
              <w:t xml:space="preserve">nero. </w:t>
            </w:r>
            <w:r w:rsidRPr="00C20D33">
              <w:rPr>
                <w:rFonts w:eastAsia="Calibri"/>
                <w:sz w:val="24"/>
                <w:szCs w:val="24"/>
                <w:lang w:val="es-ES_tradnl"/>
              </w:rPr>
              <w:t>É</w:t>
            </w:r>
            <w:r w:rsidRPr="00C20D33">
              <w:rPr>
                <w:sz w:val="24"/>
                <w:szCs w:val="24"/>
                <w:lang w:val="es-ES_tradnl"/>
              </w:rPr>
              <w:t>nfasis en los conceptos diferencia y diversidad y su relaci</w:t>
            </w:r>
            <w:r w:rsidRPr="00C20D33">
              <w:rPr>
                <w:rFonts w:eastAsia="Calibri"/>
                <w:sz w:val="24"/>
                <w:szCs w:val="24"/>
                <w:lang w:val="es-ES_tradnl"/>
              </w:rPr>
              <w:t>ó</w:t>
            </w:r>
            <w:r w:rsidRPr="00C20D33">
              <w:rPr>
                <w:sz w:val="24"/>
                <w:szCs w:val="24"/>
                <w:lang w:val="es-ES_tradnl"/>
              </w:rPr>
              <w:t>n con la formaci</w:t>
            </w:r>
            <w:r w:rsidRPr="00C20D33">
              <w:rPr>
                <w:rFonts w:eastAsia="Calibri"/>
                <w:sz w:val="24"/>
                <w:szCs w:val="24"/>
                <w:lang w:val="es-ES_tradnl"/>
              </w:rPr>
              <w:t>ó</w:t>
            </w:r>
            <w:r w:rsidRPr="00C20D33">
              <w:rPr>
                <w:sz w:val="24"/>
                <w:szCs w:val="24"/>
                <w:lang w:val="es-ES_tradnl"/>
              </w:rPr>
              <w:t>n de identidades/subjetividades de g</w:t>
            </w:r>
            <w:r w:rsidRPr="00C20D33">
              <w:rPr>
                <w:rFonts w:eastAsia="Calibri"/>
                <w:sz w:val="24"/>
                <w:szCs w:val="24"/>
                <w:lang w:val="es-ES_tradnl"/>
              </w:rPr>
              <w:t>é</w:t>
            </w:r>
            <w:r w:rsidRPr="00C20D33">
              <w:rPr>
                <w:sz w:val="24"/>
                <w:szCs w:val="24"/>
                <w:lang w:val="es-ES_tradnl"/>
              </w:rPr>
              <w:t>nero. Exploraci</w:t>
            </w:r>
            <w:r w:rsidRPr="00C20D33">
              <w:rPr>
                <w:rFonts w:eastAsia="Calibri"/>
                <w:sz w:val="24"/>
                <w:szCs w:val="24"/>
                <w:lang w:val="es-ES_tradnl"/>
              </w:rPr>
              <w:t>ó</w:t>
            </w:r>
            <w:r w:rsidRPr="00C20D33">
              <w:rPr>
                <w:sz w:val="24"/>
                <w:szCs w:val="24"/>
                <w:lang w:val="es-ES_tradnl"/>
              </w:rPr>
              <w:t>n de la participaci</w:t>
            </w:r>
            <w:r w:rsidRPr="00C20D33">
              <w:rPr>
                <w:rFonts w:eastAsia="Calibri"/>
                <w:sz w:val="24"/>
                <w:szCs w:val="24"/>
                <w:lang w:val="es-ES_tradnl"/>
              </w:rPr>
              <w:t>ó</w:t>
            </w:r>
            <w:r w:rsidRPr="00C20D33">
              <w:rPr>
                <w:sz w:val="24"/>
                <w:szCs w:val="24"/>
                <w:lang w:val="es-ES_tradnl"/>
              </w:rPr>
              <w:t>n de las instituciones sociales en la perpetuaci</w:t>
            </w:r>
            <w:r w:rsidRPr="00C20D33">
              <w:rPr>
                <w:rFonts w:eastAsia="Calibri"/>
                <w:sz w:val="24"/>
                <w:szCs w:val="24"/>
                <w:lang w:val="es-ES_tradnl"/>
              </w:rPr>
              <w:t>ó</w:t>
            </w:r>
            <w:r w:rsidRPr="00C20D33">
              <w:rPr>
                <w:sz w:val="24"/>
                <w:szCs w:val="24"/>
                <w:lang w:val="es-ES_tradnl"/>
              </w:rPr>
              <w:t>n de la desigualdad, especialmente las instituciones educativas. Estudio del androcentrismo en los saberes, as</w:t>
            </w:r>
            <w:r w:rsidRPr="00C20D33">
              <w:rPr>
                <w:rFonts w:eastAsia="Calibri"/>
                <w:sz w:val="24"/>
                <w:szCs w:val="24"/>
                <w:lang w:val="es-ES_tradnl"/>
              </w:rPr>
              <w:t>í</w:t>
            </w:r>
            <w:r w:rsidRPr="00C20D33">
              <w:rPr>
                <w:sz w:val="24"/>
                <w:szCs w:val="24"/>
                <w:lang w:val="es-ES_tradnl"/>
              </w:rPr>
              <w:t xml:space="preserve"> como de las conceptualizaciones te</w:t>
            </w:r>
            <w:r w:rsidRPr="00C20D33">
              <w:rPr>
                <w:rFonts w:eastAsia="Calibri"/>
                <w:sz w:val="24"/>
                <w:szCs w:val="24"/>
                <w:lang w:val="es-ES_tradnl"/>
              </w:rPr>
              <w:t>ó</w:t>
            </w:r>
            <w:r w:rsidRPr="00C20D33">
              <w:rPr>
                <w:sz w:val="24"/>
                <w:szCs w:val="24"/>
                <w:lang w:val="es-ES_tradnl"/>
              </w:rPr>
              <w:t>ricas y pr</w:t>
            </w:r>
            <w:r w:rsidRPr="00C20D33">
              <w:rPr>
                <w:rFonts w:eastAsia="Calibri"/>
                <w:sz w:val="24"/>
                <w:szCs w:val="24"/>
                <w:lang w:val="es-ES_tradnl"/>
              </w:rPr>
              <w:t>á</w:t>
            </w:r>
            <w:r w:rsidRPr="00C20D33">
              <w:rPr>
                <w:sz w:val="24"/>
                <w:szCs w:val="24"/>
                <w:lang w:val="es-ES_tradnl"/>
              </w:rPr>
              <w:t>cticas fundamentadas en la democracia y los derechos humanos.</w:t>
            </w:r>
          </w:p>
        </w:tc>
      </w:tr>
      <w:tr w:rsidR="003C6231" w:rsidRPr="003A68E1" w14:paraId="6F197DD4" w14:textId="77777777" w:rsidTr="00C20D33">
        <w:trPr>
          <w:trHeight w:val="60"/>
          <w:jc w:val="center"/>
        </w:trPr>
        <w:tc>
          <w:tcPr>
            <w:tcW w:w="46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531937" w14:textId="37FD1DE5" w:rsidR="003C6231" w:rsidRPr="00C20D33" w:rsidRDefault="003C6231" w:rsidP="00411A19">
            <w:pPr>
              <w:spacing w:after="0" w:line="276" w:lineRule="auto"/>
              <w:ind w:left="75"/>
              <w:rPr>
                <w:rFonts w:eastAsia="Times New Roman" w:cstheme="minorHAnsi"/>
                <w:b/>
                <w:bCs/>
                <w:sz w:val="24"/>
                <w:szCs w:val="24"/>
                <w:lang w:val="es-ES_tradnl"/>
              </w:rPr>
            </w:pPr>
            <w:r w:rsidRPr="00C20D33">
              <w:rPr>
                <w:rFonts w:eastAsia="Times New Roman" w:cstheme="minorHAnsi"/>
                <w:b/>
                <w:bCs/>
                <w:sz w:val="24"/>
                <w:szCs w:val="24"/>
                <w:lang w:val="es-ES_tradnl"/>
              </w:rPr>
              <w:t xml:space="preserve">FAED 4001 </w:t>
            </w:r>
            <w:r w:rsidRPr="00C20D33">
              <w:rPr>
                <w:rFonts w:eastAsia="Times New Roman" w:cstheme="minorHAnsi"/>
                <w:bCs/>
                <w:sz w:val="24"/>
                <w:szCs w:val="24"/>
                <w:lang w:val="es-ES_tradnl"/>
              </w:rPr>
              <w:t>Seminario reflexivo profesional I</w:t>
            </w:r>
          </w:p>
        </w:tc>
        <w:tc>
          <w:tcPr>
            <w:tcW w:w="7740" w:type="dxa"/>
            <w:tcBorders>
              <w:top w:val="single" w:sz="4" w:space="0" w:color="000000"/>
              <w:left w:val="single" w:sz="4" w:space="0" w:color="auto"/>
              <w:bottom w:val="single" w:sz="4" w:space="0" w:color="000000"/>
              <w:right w:val="single" w:sz="4" w:space="0" w:color="auto"/>
            </w:tcBorders>
            <w:shd w:val="clear" w:color="auto" w:fill="E2EFD9" w:themeFill="accent6" w:themeFillTint="33"/>
            <w:tcMar>
              <w:top w:w="0" w:type="dxa"/>
              <w:left w:w="115" w:type="dxa"/>
              <w:bottom w:w="0" w:type="dxa"/>
              <w:right w:w="115" w:type="dxa"/>
            </w:tcMar>
            <w:vAlign w:val="center"/>
          </w:tcPr>
          <w:p w14:paraId="39FB0C73" w14:textId="74B7C5CD" w:rsidR="003C6231" w:rsidRPr="00C20D33" w:rsidRDefault="003C6231" w:rsidP="003C6231">
            <w:pPr>
              <w:pStyle w:val="NoSpacing"/>
              <w:jc w:val="both"/>
              <w:rPr>
                <w:rFonts w:eastAsia="Times New Roman"/>
                <w:b/>
                <w:bCs/>
                <w:sz w:val="24"/>
                <w:szCs w:val="24"/>
                <w:lang w:val="es-PR"/>
              </w:rPr>
            </w:pPr>
            <w:r w:rsidRPr="00C20D33">
              <w:rPr>
                <w:sz w:val="24"/>
                <w:szCs w:val="24"/>
                <w:lang w:val="es-PR"/>
              </w:rPr>
              <w:t>El Seminario Reflexivo Profesional de la Facultad de Educación se ofrece en tres etapas que se extienden desde la llegada del estudiante a la Facultad hasta el final de su bachillerato. Este provee a los estudiantes la oportunidad de reflexionar sobre el magisterio y la preparación académica y profesional que esta carrera conlleva. Utiliza el portafolio electrónico como herramienta para estimular y evidenciar su proceso de reflexión y desarrollo tomando como base las competencias y los principios presentados en el marco conceptual de la Facultad. En el Seminario Reflexivo Profesional I el estudiante conocerá el marco conceptual de la Facultad de Educación e iniciará el proceso y desarrollo del Portafolio Electrónico.</w:t>
            </w:r>
          </w:p>
        </w:tc>
      </w:tr>
      <w:tr w:rsidR="003C6231" w:rsidRPr="003A68E1" w14:paraId="7EE6BE0D" w14:textId="77777777" w:rsidTr="00C20D33">
        <w:trPr>
          <w:trHeight w:val="60"/>
          <w:jc w:val="center"/>
        </w:trPr>
        <w:tc>
          <w:tcPr>
            <w:tcW w:w="4675" w:type="dxa"/>
            <w:tcBorders>
              <w:top w:val="single" w:sz="4" w:space="0" w:color="auto"/>
              <w:left w:val="single" w:sz="4" w:space="0" w:color="auto"/>
              <w:bottom w:val="single" w:sz="4" w:space="0" w:color="auto"/>
              <w:right w:val="single" w:sz="4" w:space="0" w:color="auto"/>
            </w:tcBorders>
            <w:vAlign w:val="center"/>
          </w:tcPr>
          <w:p w14:paraId="448D931C" w14:textId="77238A57" w:rsidR="003C6231" w:rsidRPr="00C20D33" w:rsidRDefault="003C6231" w:rsidP="00411A19">
            <w:pPr>
              <w:spacing w:after="0" w:line="276" w:lineRule="auto"/>
              <w:ind w:left="75"/>
              <w:rPr>
                <w:rFonts w:eastAsia="Times New Roman" w:cstheme="minorHAnsi"/>
                <w:b/>
                <w:bCs/>
                <w:sz w:val="24"/>
                <w:szCs w:val="24"/>
                <w:lang w:val="es-ES_tradnl"/>
              </w:rPr>
            </w:pPr>
            <w:r w:rsidRPr="00C20D33">
              <w:rPr>
                <w:rFonts w:eastAsia="Times New Roman" w:cstheme="minorHAnsi"/>
                <w:b/>
                <w:bCs/>
                <w:sz w:val="24"/>
                <w:szCs w:val="24"/>
                <w:lang w:val="es-ES_tradnl"/>
              </w:rPr>
              <w:t xml:space="preserve">FAED 4002 </w:t>
            </w:r>
            <w:r w:rsidRPr="00C20D33">
              <w:rPr>
                <w:rFonts w:eastAsia="Times New Roman" w:cstheme="minorHAnsi"/>
                <w:bCs/>
                <w:sz w:val="24"/>
                <w:szCs w:val="24"/>
                <w:lang w:val="es-ES_tradnl"/>
              </w:rPr>
              <w:t>Seminario reflexivo profesional II</w:t>
            </w:r>
          </w:p>
        </w:tc>
        <w:tc>
          <w:tcPr>
            <w:tcW w:w="7740"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vAlign w:val="center"/>
          </w:tcPr>
          <w:p w14:paraId="1727B721" w14:textId="2B143494" w:rsidR="003C6231" w:rsidRDefault="003C6231" w:rsidP="003C6231">
            <w:pPr>
              <w:pStyle w:val="NoSpacing"/>
              <w:jc w:val="both"/>
              <w:rPr>
                <w:sz w:val="24"/>
                <w:szCs w:val="24"/>
                <w:lang w:val="es-PR"/>
              </w:rPr>
            </w:pPr>
            <w:r w:rsidRPr="00C20D33">
              <w:rPr>
                <w:sz w:val="24"/>
                <w:szCs w:val="24"/>
                <w:lang w:val="es-PR"/>
              </w:rPr>
              <w:t xml:space="preserve">El Seminario Reflexivo Profesional de la Facultad de Educación se ofrece en tres etapas que se extienden desde la llegada del estudiante a la Facultad hasta el final de su bachillerato. Este provee a los estudiantes la oportunidad de reflexionar sobre el magisterio y la preparación académica y profesional que esta carrera conlleva. Utiliza el portafolio electrónico como herramienta para estimular y evidenciar su proceso de reflexión y desarrollo tomando como base las competencias y los principios presentados en el marco conceptual de la Facultad de Educación. En el Seminario Reflexivo Profesional II el estudiante reflexiona sobre el proceso de enseñanza aprendizaje y su filosofía educativa. Vincula al portafolio sus experiencias de campo y de aprendizaje sobre los procesos de enseñanza aprendizaje. </w:t>
            </w:r>
          </w:p>
          <w:p w14:paraId="4131E769" w14:textId="77777777" w:rsidR="003C6231" w:rsidRPr="00C20D33" w:rsidRDefault="003C6231" w:rsidP="003C6231">
            <w:pPr>
              <w:pStyle w:val="NoSpacing"/>
              <w:jc w:val="both"/>
              <w:rPr>
                <w:sz w:val="24"/>
                <w:szCs w:val="24"/>
                <w:lang w:val="es-PR"/>
              </w:rPr>
            </w:pPr>
          </w:p>
          <w:p w14:paraId="06517AF5" w14:textId="091BB7E9" w:rsidR="003C6231" w:rsidRPr="00C20D33" w:rsidRDefault="003C6231" w:rsidP="003C6231">
            <w:pPr>
              <w:pStyle w:val="NoSpacing"/>
              <w:jc w:val="both"/>
              <w:rPr>
                <w:rFonts w:eastAsia="Times New Roman"/>
                <w:b/>
                <w:bCs/>
                <w:sz w:val="24"/>
                <w:szCs w:val="24"/>
                <w:lang w:val="es-PR"/>
              </w:rPr>
            </w:pPr>
          </w:p>
        </w:tc>
      </w:tr>
      <w:tr w:rsidR="003C6231" w:rsidRPr="003A68E1" w14:paraId="44595D9D" w14:textId="77777777" w:rsidTr="00C20D33">
        <w:trPr>
          <w:trHeight w:val="60"/>
          <w:jc w:val="center"/>
        </w:trPr>
        <w:tc>
          <w:tcPr>
            <w:tcW w:w="46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2CEE86" w14:textId="245B7973" w:rsidR="003C6231" w:rsidRPr="00C20D33" w:rsidRDefault="003C6231" w:rsidP="00411A19">
            <w:pPr>
              <w:spacing w:after="0" w:line="276" w:lineRule="auto"/>
              <w:ind w:left="75"/>
              <w:rPr>
                <w:rFonts w:eastAsia="Times New Roman" w:cstheme="minorHAnsi"/>
                <w:b/>
                <w:bCs/>
                <w:sz w:val="24"/>
                <w:szCs w:val="24"/>
                <w:lang w:val="es-ES_tradnl"/>
              </w:rPr>
            </w:pPr>
            <w:r w:rsidRPr="00C20D33">
              <w:rPr>
                <w:rFonts w:eastAsia="Times New Roman" w:cstheme="minorHAnsi"/>
                <w:b/>
                <w:bCs/>
                <w:sz w:val="24"/>
                <w:szCs w:val="24"/>
                <w:lang w:val="es-ES_tradnl"/>
              </w:rPr>
              <w:lastRenderedPageBreak/>
              <w:t>FAED 400</w:t>
            </w:r>
            <w:r>
              <w:rPr>
                <w:rFonts w:eastAsia="Times New Roman" w:cstheme="minorHAnsi"/>
                <w:b/>
                <w:bCs/>
                <w:sz w:val="24"/>
                <w:szCs w:val="24"/>
                <w:lang w:val="es-ES_tradnl"/>
              </w:rPr>
              <w:t>3</w:t>
            </w:r>
            <w:r w:rsidRPr="00C20D33">
              <w:rPr>
                <w:rFonts w:eastAsia="Times New Roman" w:cstheme="minorHAnsi"/>
                <w:b/>
                <w:bCs/>
                <w:sz w:val="24"/>
                <w:szCs w:val="24"/>
                <w:lang w:val="es-ES_tradnl"/>
              </w:rPr>
              <w:t xml:space="preserve"> </w:t>
            </w:r>
            <w:r w:rsidRPr="00C20D33">
              <w:rPr>
                <w:rFonts w:eastAsia="Times New Roman" w:cstheme="minorHAnsi"/>
                <w:bCs/>
                <w:sz w:val="24"/>
                <w:szCs w:val="24"/>
                <w:lang w:val="es-ES_tradnl"/>
              </w:rPr>
              <w:t>Seminario reflexivo profesional III</w:t>
            </w:r>
          </w:p>
        </w:tc>
        <w:tc>
          <w:tcPr>
            <w:tcW w:w="7740" w:type="dxa"/>
            <w:tcBorders>
              <w:top w:val="single" w:sz="4" w:space="0" w:color="000000"/>
              <w:left w:val="single" w:sz="4" w:space="0" w:color="auto"/>
              <w:bottom w:val="single" w:sz="4" w:space="0" w:color="000000"/>
              <w:right w:val="single" w:sz="4" w:space="0" w:color="auto"/>
            </w:tcBorders>
            <w:shd w:val="clear" w:color="auto" w:fill="E2EFD9" w:themeFill="accent6" w:themeFillTint="33"/>
            <w:tcMar>
              <w:top w:w="0" w:type="dxa"/>
              <w:left w:w="115" w:type="dxa"/>
              <w:bottom w:w="0" w:type="dxa"/>
              <w:right w:w="115" w:type="dxa"/>
            </w:tcMar>
            <w:vAlign w:val="center"/>
          </w:tcPr>
          <w:p w14:paraId="7EC7717A" w14:textId="474E04B1" w:rsidR="003C6231" w:rsidRPr="00C20D33" w:rsidRDefault="003C6231" w:rsidP="003C6231">
            <w:pPr>
              <w:pStyle w:val="NoSpacing"/>
              <w:jc w:val="both"/>
              <w:rPr>
                <w:rFonts w:eastAsia="Times New Roman"/>
                <w:b/>
                <w:bCs/>
                <w:sz w:val="24"/>
                <w:szCs w:val="24"/>
                <w:lang w:val="es-PR"/>
              </w:rPr>
            </w:pPr>
            <w:r w:rsidRPr="00C20D33">
              <w:rPr>
                <w:sz w:val="24"/>
                <w:szCs w:val="24"/>
                <w:lang w:val="es-PR"/>
              </w:rPr>
              <w:t>El Seminario Reflexivo Profesional de la Facultad de Educación se ofrece en tres etapas que se extienden desde la llegada del estudiante a la Facultad hasta el final de su bachillerato. Este provee a los estudiantes la oportunidad de reflexionar sobre el magisterio y la preparación académica y profesional           que esta carrera conlleva. Utiliza el portafolio electrónico como herramienta para estimular y evidenciar su proceso de reflexión y desarrollo tomando como base las competencias y los principios presentados en el marco conceptual de la Facultad de Educación. En el Seminario Reflexivo Profesional III el estudiante completa el portafolio y el tema que sirve de base para el proceso reflexivo es sobre el investigar al enseñar.</w:t>
            </w:r>
          </w:p>
        </w:tc>
      </w:tr>
    </w:tbl>
    <w:p w14:paraId="0F610E29" w14:textId="6774101A" w:rsidR="00F95289" w:rsidRPr="003A68E1" w:rsidRDefault="00F95289">
      <w:pPr>
        <w:rPr>
          <w:b/>
          <w:sz w:val="24"/>
          <w:szCs w:val="24"/>
          <w:lang w:val="es-ES_tradnl"/>
        </w:rPr>
      </w:pPr>
    </w:p>
    <w:p w14:paraId="6A9AA370" w14:textId="497CF267" w:rsidR="00C0755B" w:rsidRPr="003A68E1" w:rsidRDefault="00C0755B">
      <w:pPr>
        <w:rPr>
          <w:b/>
          <w:sz w:val="24"/>
          <w:szCs w:val="24"/>
          <w:lang w:val="es-ES"/>
        </w:rPr>
      </w:pPr>
    </w:p>
    <w:sectPr w:rsidR="00C0755B" w:rsidRPr="003A68E1" w:rsidSect="007F5D7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B75E2" w14:textId="77777777" w:rsidR="004E71AC" w:rsidRDefault="004E71AC" w:rsidP="00200C1E">
      <w:pPr>
        <w:spacing w:after="0" w:line="240" w:lineRule="auto"/>
      </w:pPr>
      <w:r>
        <w:separator/>
      </w:r>
    </w:p>
  </w:endnote>
  <w:endnote w:type="continuationSeparator" w:id="0">
    <w:p w14:paraId="67C78599" w14:textId="77777777" w:rsidR="004E71AC" w:rsidRDefault="004E71AC" w:rsidP="0020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1B9D9" w14:textId="77777777" w:rsidR="004E71AC" w:rsidRDefault="004E71AC" w:rsidP="00200C1E">
      <w:pPr>
        <w:spacing w:after="0" w:line="240" w:lineRule="auto"/>
      </w:pPr>
      <w:r>
        <w:separator/>
      </w:r>
    </w:p>
  </w:footnote>
  <w:footnote w:type="continuationSeparator" w:id="0">
    <w:p w14:paraId="799BD8C2" w14:textId="77777777" w:rsidR="004E71AC" w:rsidRDefault="004E71AC" w:rsidP="00200C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FE"/>
    <w:rsid w:val="00011B1E"/>
    <w:rsid w:val="000135C7"/>
    <w:rsid w:val="0002168F"/>
    <w:rsid w:val="000302AD"/>
    <w:rsid w:val="00033DE6"/>
    <w:rsid w:val="00034AB1"/>
    <w:rsid w:val="00041E3F"/>
    <w:rsid w:val="000433E7"/>
    <w:rsid w:val="00052FD7"/>
    <w:rsid w:val="00053AA2"/>
    <w:rsid w:val="00056B6F"/>
    <w:rsid w:val="0006034E"/>
    <w:rsid w:val="00061F4F"/>
    <w:rsid w:val="00070871"/>
    <w:rsid w:val="000708B0"/>
    <w:rsid w:val="00082909"/>
    <w:rsid w:val="00090F54"/>
    <w:rsid w:val="00091D87"/>
    <w:rsid w:val="000A1EAA"/>
    <w:rsid w:val="000B2BBC"/>
    <w:rsid w:val="000B3132"/>
    <w:rsid w:val="000B73E5"/>
    <w:rsid w:val="000C0195"/>
    <w:rsid w:val="000D4CB4"/>
    <w:rsid w:val="000D540A"/>
    <w:rsid w:val="000E0880"/>
    <w:rsid w:val="000E1D2F"/>
    <w:rsid w:val="000E28D7"/>
    <w:rsid w:val="000F5F2C"/>
    <w:rsid w:val="00103D40"/>
    <w:rsid w:val="00106234"/>
    <w:rsid w:val="00106480"/>
    <w:rsid w:val="001203D3"/>
    <w:rsid w:val="001253A6"/>
    <w:rsid w:val="00130F02"/>
    <w:rsid w:val="001319AC"/>
    <w:rsid w:val="001350AA"/>
    <w:rsid w:val="00135651"/>
    <w:rsid w:val="00137EE4"/>
    <w:rsid w:val="00140463"/>
    <w:rsid w:val="00153402"/>
    <w:rsid w:val="0015464A"/>
    <w:rsid w:val="001559D9"/>
    <w:rsid w:val="001607F9"/>
    <w:rsid w:val="001619E8"/>
    <w:rsid w:val="0017062B"/>
    <w:rsid w:val="0017461F"/>
    <w:rsid w:val="00181617"/>
    <w:rsid w:val="00186575"/>
    <w:rsid w:val="00186D8F"/>
    <w:rsid w:val="00186E59"/>
    <w:rsid w:val="00192CA7"/>
    <w:rsid w:val="00194350"/>
    <w:rsid w:val="001A1E4B"/>
    <w:rsid w:val="001B5118"/>
    <w:rsid w:val="001B5D1E"/>
    <w:rsid w:val="001B7385"/>
    <w:rsid w:val="001C4849"/>
    <w:rsid w:val="001C6A37"/>
    <w:rsid w:val="001D12E8"/>
    <w:rsid w:val="001D1426"/>
    <w:rsid w:val="001D38B3"/>
    <w:rsid w:val="001D4843"/>
    <w:rsid w:val="001F566A"/>
    <w:rsid w:val="001F5E33"/>
    <w:rsid w:val="00200C1E"/>
    <w:rsid w:val="002108C3"/>
    <w:rsid w:val="00211D4E"/>
    <w:rsid w:val="0021226B"/>
    <w:rsid w:val="00213036"/>
    <w:rsid w:val="00215210"/>
    <w:rsid w:val="00221F20"/>
    <w:rsid w:val="00222CA8"/>
    <w:rsid w:val="002308C2"/>
    <w:rsid w:val="00234874"/>
    <w:rsid w:val="00240A06"/>
    <w:rsid w:val="00245616"/>
    <w:rsid w:val="002456A9"/>
    <w:rsid w:val="0024615E"/>
    <w:rsid w:val="0025071C"/>
    <w:rsid w:val="00255D2C"/>
    <w:rsid w:val="00262BB7"/>
    <w:rsid w:val="002654B9"/>
    <w:rsid w:val="002671DB"/>
    <w:rsid w:val="00283CB8"/>
    <w:rsid w:val="00283EAC"/>
    <w:rsid w:val="00286F61"/>
    <w:rsid w:val="0029385A"/>
    <w:rsid w:val="00294C5C"/>
    <w:rsid w:val="002952E6"/>
    <w:rsid w:val="0029662E"/>
    <w:rsid w:val="002C0B1D"/>
    <w:rsid w:val="002C1399"/>
    <w:rsid w:val="002C184C"/>
    <w:rsid w:val="002D3BF5"/>
    <w:rsid w:val="002D4200"/>
    <w:rsid w:val="002D7BFF"/>
    <w:rsid w:val="002E6950"/>
    <w:rsid w:val="002F6104"/>
    <w:rsid w:val="00303062"/>
    <w:rsid w:val="00303FDC"/>
    <w:rsid w:val="0030520F"/>
    <w:rsid w:val="0031161F"/>
    <w:rsid w:val="00324A51"/>
    <w:rsid w:val="00326ABD"/>
    <w:rsid w:val="003357F3"/>
    <w:rsid w:val="00342DAC"/>
    <w:rsid w:val="00343006"/>
    <w:rsid w:val="00347467"/>
    <w:rsid w:val="00362338"/>
    <w:rsid w:val="00372633"/>
    <w:rsid w:val="003839DB"/>
    <w:rsid w:val="003903D3"/>
    <w:rsid w:val="003A68E1"/>
    <w:rsid w:val="003A6C2C"/>
    <w:rsid w:val="003B15D5"/>
    <w:rsid w:val="003B1DBF"/>
    <w:rsid w:val="003B2281"/>
    <w:rsid w:val="003B54D6"/>
    <w:rsid w:val="003C6231"/>
    <w:rsid w:val="003E07D9"/>
    <w:rsid w:val="003E5E7B"/>
    <w:rsid w:val="003F1F19"/>
    <w:rsid w:val="003F2A77"/>
    <w:rsid w:val="003F2D8B"/>
    <w:rsid w:val="003F67BA"/>
    <w:rsid w:val="0040350A"/>
    <w:rsid w:val="00411A19"/>
    <w:rsid w:val="00415159"/>
    <w:rsid w:val="00432483"/>
    <w:rsid w:val="00435F4C"/>
    <w:rsid w:val="004427D3"/>
    <w:rsid w:val="004439AA"/>
    <w:rsid w:val="004439D3"/>
    <w:rsid w:val="00447A06"/>
    <w:rsid w:val="004705E3"/>
    <w:rsid w:val="004712B4"/>
    <w:rsid w:val="0047206E"/>
    <w:rsid w:val="00492DE8"/>
    <w:rsid w:val="00492FF8"/>
    <w:rsid w:val="00494688"/>
    <w:rsid w:val="00494EC8"/>
    <w:rsid w:val="00496586"/>
    <w:rsid w:val="00497F40"/>
    <w:rsid w:val="004A60E2"/>
    <w:rsid w:val="004A742B"/>
    <w:rsid w:val="004D0503"/>
    <w:rsid w:val="004E4B99"/>
    <w:rsid w:val="004E71AC"/>
    <w:rsid w:val="004F50C3"/>
    <w:rsid w:val="0050329A"/>
    <w:rsid w:val="00507616"/>
    <w:rsid w:val="00511856"/>
    <w:rsid w:val="0051329F"/>
    <w:rsid w:val="00516B38"/>
    <w:rsid w:val="00517097"/>
    <w:rsid w:val="005252B9"/>
    <w:rsid w:val="0052584A"/>
    <w:rsid w:val="00526CD7"/>
    <w:rsid w:val="005332D9"/>
    <w:rsid w:val="00536390"/>
    <w:rsid w:val="00556CB4"/>
    <w:rsid w:val="00564711"/>
    <w:rsid w:val="005649DE"/>
    <w:rsid w:val="0057283E"/>
    <w:rsid w:val="00575A24"/>
    <w:rsid w:val="005770B9"/>
    <w:rsid w:val="00584F50"/>
    <w:rsid w:val="00590780"/>
    <w:rsid w:val="00591C0B"/>
    <w:rsid w:val="00594526"/>
    <w:rsid w:val="00596F66"/>
    <w:rsid w:val="0059733D"/>
    <w:rsid w:val="005A0205"/>
    <w:rsid w:val="005A2A4F"/>
    <w:rsid w:val="005A48AF"/>
    <w:rsid w:val="005B0D53"/>
    <w:rsid w:val="005C5028"/>
    <w:rsid w:val="005C65FE"/>
    <w:rsid w:val="005C7EA4"/>
    <w:rsid w:val="005D4820"/>
    <w:rsid w:val="005D7E51"/>
    <w:rsid w:val="005E11CD"/>
    <w:rsid w:val="005E44EC"/>
    <w:rsid w:val="005F31E9"/>
    <w:rsid w:val="005F3D03"/>
    <w:rsid w:val="005F3D8C"/>
    <w:rsid w:val="005F50D5"/>
    <w:rsid w:val="00613689"/>
    <w:rsid w:val="00613925"/>
    <w:rsid w:val="00626B40"/>
    <w:rsid w:val="00635078"/>
    <w:rsid w:val="00636172"/>
    <w:rsid w:val="006411F3"/>
    <w:rsid w:val="00641418"/>
    <w:rsid w:val="006444BA"/>
    <w:rsid w:val="0066147C"/>
    <w:rsid w:val="00677F54"/>
    <w:rsid w:val="00681901"/>
    <w:rsid w:val="00683C1D"/>
    <w:rsid w:val="00693D0B"/>
    <w:rsid w:val="00695214"/>
    <w:rsid w:val="00697480"/>
    <w:rsid w:val="006B11E1"/>
    <w:rsid w:val="006B22AC"/>
    <w:rsid w:val="006C00AC"/>
    <w:rsid w:val="006C321E"/>
    <w:rsid w:val="006C4B6C"/>
    <w:rsid w:val="006C6549"/>
    <w:rsid w:val="006D01EF"/>
    <w:rsid w:val="006D0DE8"/>
    <w:rsid w:val="006E5C08"/>
    <w:rsid w:val="006F5A0D"/>
    <w:rsid w:val="00701C85"/>
    <w:rsid w:val="00725F55"/>
    <w:rsid w:val="00732787"/>
    <w:rsid w:val="0073613D"/>
    <w:rsid w:val="00737C5D"/>
    <w:rsid w:val="00744990"/>
    <w:rsid w:val="00751C34"/>
    <w:rsid w:val="007641D5"/>
    <w:rsid w:val="00764380"/>
    <w:rsid w:val="007673B4"/>
    <w:rsid w:val="00771925"/>
    <w:rsid w:val="00772306"/>
    <w:rsid w:val="00772FAE"/>
    <w:rsid w:val="0077709E"/>
    <w:rsid w:val="007773A4"/>
    <w:rsid w:val="00783718"/>
    <w:rsid w:val="007A0ADD"/>
    <w:rsid w:val="007A128E"/>
    <w:rsid w:val="007A35FF"/>
    <w:rsid w:val="007A4CA2"/>
    <w:rsid w:val="007A4F75"/>
    <w:rsid w:val="007A7D9C"/>
    <w:rsid w:val="007C0D4A"/>
    <w:rsid w:val="007C3EC6"/>
    <w:rsid w:val="007C549E"/>
    <w:rsid w:val="007D5A8C"/>
    <w:rsid w:val="007F086D"/>
    <w:rsid w:val="007F5D73"/>
    <w:rsid w:val="007F7DEF"/>
    <w:rsid w:val="00811211"/>
    <w:rsid w:val="00815761"/>
    <w:rsid w:val="00816323"/>
    <w:rsid w:val="00832627"/>
    <w:rsid w:val="00834C25"/>
    <w:rsid w:val="00835B23"/>
    <w:rsid w:val="00835EB2"/>
    <w:rsid w:val="00837D65"/>
    <w:rsid w:val="008419AE"/>
    <w:rsid w:val="008439A6"/>
    <w:rsid w:val="00846850"/>
    <w:rsid w:val="00851324"/>
    <w:rsid w:val="008679EC"/>
    <w:rsid w:val="00874775"/>
    <w:rsid w:val="00875593"/>
    <w:rsid w:val="008911FD"/>
    <w:rsid w:val="00891590"/>
    <w:rsid w:val="008958C0"/>
    <w:rsid w:val="00897D74"/>
    <w:rsid w:val="008A08E9"/>
    <w:rsid w:val="008A21BD"/>
    <w:rsid w:val="008A43C4"/>
    <w:rsid w:val="008A45BB"/>
    <w:rsid w:val="008B437D"/>
    <w:rsid w:val="008B5A15"/>
    <w:rsid w:val="008C0838"/>
    <w:rsid w:val="008C357E"/>
    <w:rsid w:val="008C598D"/>
    <w:rsid w:val="008E5911"/>
    <w:rsid w:val="008E6D46"/>
    <w:rsid w:val="008E7ECA"/>
    <w:rsid w:val="008F123B"/>
    <w:rsid w:val="008F60E6"/>
    <w:rsid w:val="009005C2"/>
    <w:rsid w:val="0090466D"/>
    <w:rsid w:val="00917D69"/>
    <w:rsid w:val="009200F2"/>
    <w:rsid w:val="009204F1"/>
    <w:rsid w:val="009373DB"/>
    <w:rsid w:val="00937419"/>
    <w:rsid w:val="00945864"/>
    <w:rsid w:val="00953FA9"/>
    <w:rsid w:val="00960DAB"/>
    <w:rsid w:val="00970C37"/>
    <w:rsid w:val="00970ED6"/>
    <w:rsid w:val="00971B72"/>
    <w:rsid w:val="00972A62"/>
    <w:rsid w:val="0098165D"/>
    <w:rsid w:val="0098536A"/>
    <w:rsid w:val="00985825"/>
    <w:rsid w:val="009912B0"/>
    <w:rsid w:val="009927FF"/>
    <w:rsid w:val="00996C89"/>
    <w:rsid w:val="009A77FB"/>
    <w:rsid w:val="009A7C2A"/>
    <w:rsid w:val="009B041C"/>
    <w:rsid w:val="009B3521"/>
    <w:rsid w:val="009B7B18"/>
    <w:rsid w:val="009C3558"/>
    <w:rsid w:val="009C41E9"/>
    <w:rsid w:val="009C7CCC"/>
    <w:rsid w:val="009D3C1A"/>
    <w:rsid w:val="009D3F11"/>
    <w:rsid w:val="009D5B9E"/>
    <w:rsid w:val="009E79AE"/>
    <w:rsid w:val="009F26A5"/>
    <w:rsid w:val="009F466F"/>
    <w:rsid w:val="009F4FD5"/>
    <w:rsid w:val="00A0115D"/>
    <w:rsid w:val="00A06614"/>
    <w:rsid w:val="00A06A2A"/>
    <w:rsid w:val="00A16202"/>
    <w:rsid w:val="00A20E6D"/>
    <w:rsid w:val="00A538D7"/>
    <w:rsid w:val="00A62EE1"/>
    <w:rsid w:val="00A7323C"/>
    <w:rsid w:val="00A92E27"/>
    <w:rsid w:val="00A93646"/>
    <w:rsid w:val="00A95B2B"/>
    <w:rsid w:val="00AA5801"/>
    <w:rsid w:val="00AA5DBA"/>
    <w:rsid w:val="00AB513B"/>
    <w:rsid w:val="00AB7112"/>
    <w:rsid w:val="00AC2C05"/>
    <w:rsid w:val="00AC7D2E"/>
    <w:rsid w:val="00AD03DB"/>
    <w:rsid w:val="00AE4BEA"/>
    <w:rsid w:val="00AF341E"/>
    <w:rsid w:val="00AF4F68"/>
    <w:rsid w:val="00AF5E6E"/>
    <w:rsid w:val="00B04167"/>
    <w:rsid w:val="00B10A5D"/>
    <w:rsid w:val="00B26A10"/>
    <w:rsid w:val="00B32B25"/>
    <w:rsid w:val="00B3496D"/>
    <w:rsid w:val="00B36707"/>
    <w:rsid w:val="00B42697"/>
    <w:rsid w:val="00B44035"/>
    <w:rsid w:val="00B633B2"/>
    <w:rsid w:val="00B6384E"/>
    <w:rsid w:val="00B947D5"/>
    <w:rsid w:val="00BA608C"/>
    <w:rsid w:val="00BA6177"/>
    <w:rsid w:val="00BB198F"/>
    <w:rsid w:val="00BC25A2"/>
    <w:rsid w:val="00BC3C1C"/>
    <w:rsid w:val="00BC3DA5"/>
    <w:rsid w:val="00BC5398"/>
    <w:rsid w:val="00BD16FB"/>
    <w:rsid w:val="00BD35BA"/>
    <w:rsid w:val="00BD38E7"/>
    <w:rsid w:val="00BD4119"/>
    <w:rsid w:val="00BD6422"/>
    <w:rsid w:val="00BE1D28"/>
    <w:rsid w:val="00BE7869"/>
    <w:rsid w:val="00BF69D4"/>
    <w:rsid w:val="00BF7A37"/>
    <w:rsid w:val="00BF7E6F"/>
    <w:rsid w:val="00C00BFE"/>
    <w:rsid w:val="00C037DD"/>
    <w:rsid w:val="00C055FB"/>
    <w:rsid w:val="00C0755B"/>
    <w:rsid w:val="00C16B2F"/>
    <w:rsid w:val="00C20D33"/>
    <w:rsid w:val="00C31AE6"/>
    <w:rsid w:val="00C3754F"/>
    <w:rsid w:val="00C40BDE"/>
    <w:rsid w:val="00C40C72"/>
    <w:rsid w:val="00C4161D"/>
    <w:rsid w:val="00C42C4A"/>
    <w:rsid w:val="00C51D3E"/>
    <w:rsid w:val="00C53B32"/>
    <w:rsid w:val="00C560A4"/>
    <w:rsid w:val="00C67BE3"/>
    <w:rsid w:val="00C72E44"/>
    <w:rsid w:val="00C80448"/>
    <w:rsid w:val="00C84693"/>
    <w:rsid w:val="00C85C62"/>
    <w:rsid w:val="00C8609E"/>
    <w:rsid w:val="00C94ABC"/>
    <w:rsid w:val="00C95E88"/>
    <w:rsid w:val="00CA46FC"/>
    <w:rsid w:val="00CC2953"/>
    <w:rsid w:val="00CC6E5F"/>
    <w:rsid w:val="00CF0C8A"/>
    <w:rsid w:val="00CF4B0A"/>
    <w:rsid w:val="00D06C3B"/>
    <w:rsid w:val="00D07951"/>
    <w:rsid w:val="00D12BD3"/>
    <w:rsid w:val="00D152A5"/>
    <w:rsid w:val="00D16B5D"/>
    <w:rsid w:val="00D24F29"/>
    <w:rsid w:val="00D25770"/>
    <w:rsid w:val="00D30405"/>
    <w:rsid w:val="00D34285"/>
    <w:rsid w:val="00D43A0C"/>
    <w:rsid w:val="00D61AF9"/>
    <w:rsid w:val="00D65D19"/>
    <w:rsid w:val="00D67036"/>
    <w:rsid w:val="00D76F97"/>
    <w:rsid w:val="00D80723"/>
    <w:rsid w:val="00D87E19"/>
    <w:rsid w:val="00D91116"/>
    <w:rsid w:val="00D9247F"/>
    <w:rsid w:val="00DA397C"/>
    <w:rsid w:val="00DA5FEF"/>
    <w:rsid w:val="00DC3F22"/>
    <w:rsid w:val="00DC77E3"/>
    <w:rsid w:val="00DD52C3"/>
    <w:rsid w:val="00DD6B56"/>
    <w:rsid w:val="00DD7CD9"/>
    <w:rsid w:val="00DE016F"/>
    <w:rsid w:val="00DF395A"/>
    <w:rsid w:val="00DF6489"/>
    <w:rsid w:val="00E07F68"/>
    <w:rsid w:val="00E14378"/>
    <w:rsid w:val="00E14C87"/>
    <w:rsid w:val="00E32FE0"/>
    <w:rsid w:val="00E33EE1"/>
    <w:rsid w:val="00E410AC"/>
    <w:rsid w:val="00E46441"/>
    <w:rsid w:val="00E510B2"/>
    <w:rsid w:val="00E57A14"/>
    <w:rsid w:val="00E75922"/>
    <w:rsid w:val="00E75D14"/>
    <w:rsid w:val="00E81EF5"/>
    <w:rsid w:val="00E84AEF"/>
    <w:rsid w:val="00E900D5"/>
    <w:rsid w:val="00E94DD6"/>
    <w:rsid w:val="00EA647F"/>
    <w:rsid w:val="00EA7EE9"/>
    <w:rsid w:val="00EB16B1"/>
    <w:rsid w:val="00EB37E5"/>
    <w:rsid w:val="00EB53A4"/>
    <w:rsid w:val="00EB580F"/>
    <w:rsid w:val="00EC0382"/>
    <w:rsid w:val="00ED0112"/>
    <w:rsid w:val="00ED1DEE"/>
    <w:rsid w:val="00ED1EEA"/>
    <w:rsid w:val="00ED66B6"/>
    <w:rsid w:val="00EE01C4"/>
    <w:rsid w:val="00EE3565"/>
    <w:rsid w:val="00EE4955"/>
    <w:rsid w:val="00EE4A8B"/>
    <w:rsid w:val="00EE629E"/>
    <w:rsid w:val="00EF1723"/>
    <w:rsid w:val="00EF2E37"/>
    <w:rsid w:val="00EF3DD0"/>
    <w:rsid w:val="00EF65D5"/>
    <w:rsid w:val="00F02DBE"/>
    <w:rsid w:val="00F04CBE"/>
    <w:rsid w:val="00F07E2D"/>
    <w:rsid w:val="00F1408A"/>
    <w:rsid w:val="00F162AD"/>
    <w:rsid w:val="00F214A6"/>
    <w:rsid w:val="00F26602"/>
    <w:rsid w:val="00F26DA0"/>
    <w:rsid w:val="00F45F65"/>
    <w:rsid w:val="00F46B42"/>
    <w:rsid w:val="00F514F8"/>
    <w:rsid w:val="00F52765"/>
    <w:rsid w:val="00F529A5"/>
    <w:rsid w:val="00F612CD"/>
    <w:rsid w:val="00F67246"/>
    <w:rsid w:val="00F74BC9"/>
    <w:rsid w:val="00F7741D"/>
    <w:rsid w:val="00F77D14"/>
    <w:rsid w:val="00F824CB"/>
    <w:rsid w:val="00F90522"/>
    <w:rsid w:val="00F95289"/>
    <w:rsid w:val="00FA0563"/>
    <w:rsid w:val="00FA0C46"/>
    <w:rsid w:val="00FA2240"/>
    <w:rsid w:val="00FA3FF8"/>
    <w:rsid w:val="00FA509A"/>
    <w:rsid w:val="00FA585F"/>
    <w:rsid w:val="00FA73EA"/>
    <w:rsid w:val="00FB2492"/>
    <w:rsid w:val="00FB2AF2"/>
    <w:rsid w:val="00FC2467"/>
    <w:rsid w:val="00FC6761"/>
    <w:rsid w:val="00FC7A9F"/>
    <w:rsid w:val="00FD30D0"/>
    <w:rsid w:val="00FD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15984"/>
  <w15:chartTrackingRefBased/>
  <w15:docId w15:val="{2D23CBF5-A728-4846-800B-84ABB94A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679EC"/>
    <w:pPr>
      <w:keepNext/>
      <w:widowControl w:val="0"/>
      <w:tabs>
        <w:tab w:val="left" w:pos="-1440"/>
        <w:tab w:val="left" w:pos="-720"/>
        <w:tab w:val="left" w:pos="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outlineLvl w:val="0"/>
    </w:pPr>
    <w:rPr>
      <w:rFonts w:ascii="Cambria" w:eastAsia="Batang" w:hAnsi="Cambria" w:cs="Times New Roman"/>
      <w:b/>
      <w:bCs/>
      <w:kern w:val="32"/>
      <w:sz w:val="32"/>
      <w:szCs w:val="32"/>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4A"/>
    <w:rPr>
      <w:rFonts w:ascii="Segoe UI" w:hAnsi="Segoe UI" w:cs="Segoe UI"/>
      <w:sz w:val="18"/>
      <w:szCs w:val="18"/>
    </w:rPr>
  </w:style>
  <w:style w:type="paragraph" w:styleId="Header">
    <w:name w:val="header"/>
    <w:basedOn w:val="Normal"/>
    <w:link w:val="HeaderChar"/>
    <w:uiPriority w:val="99"/>
    <w:unhideWhenUsed/>
    <w:rsid w:val="00200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1E"/>
  </w:style>
  <w:style w:type="paragraph" w:styleId="Footer">
    <w:name w:val="footer"/>
    <w:basedOn w:val="Normal"/>
    <w:link w:val="FooterChar"/>
    <w:uiPriority w:val="99"/>
    <w:unhideWhenUsed/>
    <w:rsid w:val="00200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C1E"/>
  </w:style>
  <w:style w:type="character" w:styleId="PlaceholderText">
    <w:name w:val="Placeholder Text"/>
    <w:basedOn w:val="DefaultParagraphFont"/>
    <w:uiPriority w:val="99"/>
    <w:semiHidden/>
    <w:rsid w:val="00C80448"/>
    <w:rPr>
      <w:color w:val="808080"/>
    </w:rPr>
  </w:style>
  <w:style w:type="table" w:styleId="TableGrid">
    <w:name w:val="Table Grid"/>
    <w:basedOn w:val="TableNormal"/>
    <w:uiPriority w:val="39"/>
    <w:rsid w:val="0017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F4FD5"/>
    <w:pPr>
      <w:ind w:left="720"/>
      <w:contextualSpacing/>
    </w:pPr>
  </w:style>
  <w:style w:type="paragraph" w:styleId="NoSpacing">
    <w:name w:val="No Spacing"/>
    <w:uiPriority w:val="1"/>
    <w:qFormat/>
    <w:rsid w:val="005E44EC"/>
    <w:pPr>
      <w:spacing w:after="0" w:line="240" w:lineRule="auto"/>
    </w:pPr>
  </w:style>
  <w:style w:type="paragraph" w:customStyle="1" w:styleId="Default">
    <w:name w:val="Default"/>
    <w:rsid w:val="00E410AC"/>
    <w:pPr>
      <w:autoSpaceDE w:val="0"/>
      <w:autoSpaceDN w:val="0"/>
      <w:adjustRightInd w:val="0"/>
      <w:spacing w:after="0" w:line="240" w:lineRule="auto"/>
    </w:pPr>
    <w:rPr>
      <w:rFonts w:ascii="Gadugi" w:hAnsi="Gadugi" w:cs="Gadugi"/>
      <w:color w:val="000000"/>
      <w:sz w:val="24"/>
      <w:szCs w:val="24"/>
    </w:rPr>
  </w:style>
  <w:style w:type="paragraph" w:styleId="BodyText2">
    <w:name w:val="Body Text 2"/>
    <w:basedOn w:val="Normal"/>
    <w:link w:val="BodyText2Char"/>
    <w:rsid w:val="00E410AC"/>
    <w:pPr>
      <w:spacing w:after="0" w:line="240" w:lineRule="auto"/>
      <w:jc w:val="both"/>
    </w:pPr>
    <w:rPr>
      <w:rFonts w:ascii="Arial" w:eastAsia="Times New Roman" w:hAnsi="Arial" w:cs="Times New Roman"/>
      <w:sz w:val="20"/>
      <w:szCs w:val="20"/>
      <w:lang w:val="es-ES"/>
    </w:rPr>
  </w:style>
  <w:style w:type="character" w:customStyle="1" w:styleId="BodyText2Char">
    <w:name w:val="Body Text 2 Char"/>
    <w:basedOn w:val="DefaultParagraphFont"/>
    <w:link w:val="BodyText2"/>
    <w:rsid w:val="00E410AC"/>
    <w:rPr>
      <w:rFonts w:ascii="Arial" w:eastAsia="Times New Roman" w:hAnsi="Arial" w:cs="Times New Roman"/>
      <w:sz w:val="20"/>
      <w:szCs w:val="20"/>
      <w:lang w:val="es-ES"/>
    </w:rPr>
  </w:style>
  <w:style w:type="paragraph" w:styleId="BodyTextIndent">
    <w:name w:val="Body Text Indent"/>
    <w:basedOn w:val="Normal"/>
    <w:link w:val="BodyTextIndentChar"/>
    <w:uiPriority w:val="99"/>
    <w:unhideWhenUsed/>
    <w:rsid w:val="00E410AC"/>
    <w:pPr>
      <w:spacing w:after="120"/>
      <w:ind w:left="360"/>
    </w:pPr>
  </w:style>
  <w:style w:type="character" w:customStyle="1" w:styleId="BodyTextIndentChar">
    <w:name w:val="Body Text Indent Char"/>
    <w:basedOn w:val="DefaultParagraphFont"/>
    <w:link w:val="BodyTextIndent"/>
    <w:uiPriority w:val="99"/>
    <w:rsid w:val="00E410AC"/>
  </w:style>
  <w:style w:type="character" w:customStyle="1" w:styleId="Heading1Char">
    <w:name w:val="Heading 1 Char"/>
    <w:basedOn w:val="DefaultParagraphFont"/>
    <w:link w:val="Heading1"/>
    <w:uiPriority w:val="99"/>
    <w:rsid w:val="008679EC"/>
    <w:rPr>
      <w:rFonts w:ascii="Cambria" w:eastAsia="Batang" w:hAnsi="Cambria" w:cs="Times New Roman"/>
      <w:b/>
      <w:bCs/>
      <w:kern w:val="32"/>
      <w:sz w:val="32"/>
      <w:szCs w:val="32"/>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51882">
      <w:bodyDiv w:val="1"/>
      <w:marLeft w:val="0"/>
      <w:marRight w:val="0"/>
      <w:marTop w:val="0"/>
      <w:marBottom w:val="0"/>
      <w:divBdr>
        <w:top w:val="none" w:sz="0" w:space="0" w:color="auto"/>
        <w:left w:val="none" w:sz="0" w:space="0" w:color="auto"/>
        <w:bottom w:val="none" w:sz="0" w:space="0" w:color="auto"/>
        <w:right w:val="none" w:sz="0" w:space="0" w:color="auto"/>
      </w:divBdr>
      <w:divsChild>
        <w:div w:id="1823306116">
          <w:marLeft w:val="0"/>
          <w:marRight w:val="0"/>
          <w:marTop w:val="0"/>
          <w:marBottom w:val="0"/>
          <w:divBdr>
            <w:top w:val="none" w:sz="0" w:space="0" w:color="auto"/>
            <w:left w:val="none" w:sz="0" w:space="0" w:color="auto"/>
            <w:bottom w:val="none" w:sz="0" w:space="0" w:color="auto"/>
            <w:right w:val="none" w:sz="0" w:space="0" w:color="auto"/>
          </w:divBdr>
        </w:div>
        <w:div w:id="780345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306A-19DF-4AF0-99C4-7F981A99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ANANGELY STANISLAS FERNANDEZ</dc:creator>
  <cp:keywords/>
  <dc:description/>
  <cp:lastModifiedBy>Ruben Rosado Gonzalez</cp:lastModifiedBy>
  <cp:revision>2</cp:revision>
  <cp:lastPrinted>2020-12-02T16:43:00Z</cp:lastPrinted>
  <dcterms:created xsi:type="dcterms:W3CDTF">2020-12-03T18:50:00Z</dcterms:created>
  <dcterms:modified xsi:type="dcterms:W3CDTF">2020-12-03T18:50:00Z</dcterms:modified>
</cp:coreProperties>
</file>